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2FE89" w14:textId="563BB1CC" w:rsidR="00C76459" w:rsidRPr="0024223B" w:rsidRDefault="00C76459" w:rsidP="00C76459">
      <w:pPr>
        <w:spacing w:line="280" w:lineRule="exact"/>
        <w:rPr>
          <w:rFonts w:ascii="Bolder" w:hAnsi="Bolder"/>
          <w:sz w:val="18"/>
          <w:szCs w:val="18"/>
          <w:lang w:val="nl-NL"/>
        </w:rPr>
      </w:pPr>
    </w:p>
    <w:tbl>
      <w:tblPr>
        <w:tblStyle w:val="Tabelraster"/>
        <w:tblW w:w="0" w:type="auto"/>
        <w:tblLook w:val="04A0" w:firstRow="1" w:lastRow="0" w:firstColumn="1" w:lastColumn="0" w:noHBand="0" w:noVBand="1"/>
      </w:tblPr>
      <w:tblGrid>
        <w:gridCol w:w="9062"/>
      </w:tblGrid>
      <w:tr w:rsidR="00C76459" w:rsidRPr="0024223B" w14:paraId="56E73BA3" w14:textId="77777777" w:rsidTr="00C76459">
        <w:tc>
          <w:tcPr>
            <w:tcW w:w="9062" w:type="dxa"/>
          </w:tcPr>
          <w:p w14:paraId="7EDE563A" w14:textId="77777777" w:rsidR="00C76459" w:rsidRPr="0024223B" w:rsidRDefault="00C76459" w:rsidP="00C76459">
            <w:pPr>
              <w:spacing w:line="280" w:lineRule="exact"/>
              <w:rPr>
                <w:rFonts w:ascii="Bolder" w:hAnsi="Bolder"/>
                <w:b/>
                <w:bCs/>
                <w:sz w:val="18"/>
                <w:szCs w:val="18"/>
                <w:lang w:val="nl-NL"/>
              </w:rPr>
            </w:pPr>
            <w:r w:rsidRPr="0024223B">
              <w:rPr>
                <w:rFonts w:ascii="Bolder" w:hAnsi="Bolder"/>
                <w:b/>
                <w:bCs/>
                <w:sz w:val="18"/>
                <w:szCs w:val="18"/>
                <w:lang w:val="nl-NL"/>
              </w:rPr>
              <w:t>Doel van dit document:</w:t>
            </w:r>
          </w:p>
          <w:p w14:paraId="0E1F72D1" w14:textId="77777777" w:rsidR="0024223B" w:rsidRDefault="00C76459" w:rsidP="00C76459">
            <w:pPr>
              <w:spacing w:line="280" w:lineRule="exact"/>
              <w:rPr>
                <w:rFonts w:ascii="Bolder" w:hAnsi="Bolder"/>
                <w:sz w:val="18"/>
                <w:szCs w:val="18"/>
                <w:lang w:val="nl-NL"/>
              </w:rPr>
            </w:pPr>
            <w:r w:rsidRPr="0024223B">
              <w:rPr>
                <w:rFonts w:ascii="Bolder" w:hAnsi="Bolder"/>
                <w:sz w:val="18"/>
                <w:szCs w:val="18"/>
                <w:lang w:val="nl-NL"/>
              </w:rPr>
              <w:t xml:space="preserve">Het doel van dit document is met elkaar in gesprek te komen over ervaringen met betrekking tot het ramen van projecten/programma’s en hoe wordt gekeken naar het </w:t>
            </w:r>
            <w:r w:rsidR="0024223B" w:rsidRPr="0024223B">
              <w:rPr>
                <w:rFonts w:ascii="Bolder" w:hAnsi="Bolder"/>
                <w:sz w:val="18"/>
                <w:szCs w:val="18"/>
                <w:lang w:val="nl-NL"/>
              </w:rPr>
              <w:t>geraamde</w:t>
            </w:r>
            <w:r w:rsidRPr="0024223B">
              <w:rPr>
                <w:rFonts w:ascii="Bolder" w:hAnsi="Bolder"/>
                <w:sz w:val="18"/>
                <w:szCs w:val="18"/>
                <w:lang w:val="nl-NL"/>
              </w:rPr>
              <w:t xml:space="preserve"> eindbedrag. De systematiek </w:t>
            </w:r>
            <w:r w:rsidR="0024223B">
              <w:rPr>
                <w:rFonts w:ascii="Bolder" w:hAnsi="Bolder"/>
                <w:sz w:val="18"/>
                <w:szCs w:val="18"/>
                <w:lang w:val="nl-NL"/>
              </w:rPr>
              <w:t xml:space="preserve">voor het ramen </w:t>
            </w:r>
            <w:r w:rsidRPr="0024223B">
              <w:rPr>
                <w:rFonts w:ascii="Bolder" w:hAnsi="Bolder"/>
                <w:sz w:val="18"/>
                <w:szCs w:val="18"/>
                <w:lang w:val="nl-NL"/>
              </w:rPr>
              <w:t xml:space="preserve">is uitgeschreven in de Standaardsystematiek voor kostenramingen-CROW (SSK). Echter veelal ontstaan er nog spraakverwarringen omtrent kosten. Waar de een spreekt over bouwkosten spreekt de ander over investeringskosten. En dat kan leiden tot pijnlijke discussies als de bouwkosten worden verheven tot investeringskosten. </w:t>
            </w:r>
            <w:r w:rsidR="0024223B">
              <w:rPr>
                <w:rFonts w:ascii="Bolder" w:hAnsi="Bolder"/>
                <w:sz w:val="18"/>
                <w:szCs w:val="18"/>
                <w:lang w:val="nl-NL"/>
              </w:rPr>
              <w:t xml:space="preserve">Hoe goed is de scope uitgezocht? Zijn de </w:t>
            </w:r>
            <w:r w:rsidRPr="0024223B">
              <w:rPr>
                <w:rFonts w:ascii="Bolder" w:hAnsi="Bolder"/>
                <w:sz w:val="18"/>
                <w:szCs w:val="18"/>
                <w:lang w:val="nl-NL"/>
              </w:rPr>
              <w:t xml:space="preserve">financieringskosten nu wel opgenomen of niet? </w:t>
            </w:r>
          </w:p>
          <w:p w14:paraId="32A7F811" w14:textId="544363A4" w:rsidR="00C76459" w:rsidRPr="0024223B" w:rsidRDefault="00C76459" w:rsidP="00C76459">
            <w:pPr>
              <w:spacing w:line="280" w:lineRule="exact"/>
              <w:rPr>
                <w:rFonts w:ascii="Bolder" w:hAnsi="Bolder"/>
                <w:sz w:val="18"/>
                <w:szCs w:val="18"/>
                <w:lang w:val="nl-NL"/>
              </w:rPr>
            </w:pPr>
            <w:r w:rsidRPr="0024223B">
              <w:rPr>
                <w:rFonts w:ascii="Bolder" w:hAnsi="Bolder"/>
                <w:sz w:val="18"/>
                <w:szCs w:val="18"/>
                <w:lang w:val="nl-NL"/>
              </w:rPr>
              <w:t xml:space="preserve">Mocht je daar allemaal doorheen zijn, is er nog de laatste horde. De spreiding op de raming. Hoe borgen we nu dat mensen ook daadwerkelijk snappen wat dat betekent. </w:t>
            </w:r>
            <w:r w:rsidR="002D4B40">
              <w:rPr>
                <w:rFonts w:ascii="Bolder" w:hAnsi="Bolder"/>
                <w:sz w:val="18"/>
                <w:szCs w:val="18"/>
                <w:lang w:val="nl-NL"/>
              </w:rPr>
              <w:t xml:space="preserve">Deze notitie </w:t>
            </w:r>
            <w:r w:rsidRPr="0024223B">
              <w:rPr>
                <w:rFonts w:ascii="Bolder" w:hAnsi="Bolder"/>
                <w:sz w:val="18"/>
                <w:szCs w:val="18"/>
                <w:lang w:val="nl-NL"/>
              </w:rPr>
              <w:t xml:space="preserve">is daarom geschreven om in gesprek te komen. </w:t>
            </w:r>
            <w:r w:rsidR="002D4B40">
              <w:rPr>
                <w:rFonts w:ascii="Bolder" w:hAnsi="Bolder"/>
                <w:sz w:val="18"/>
                <w:szCs w:val="18"/>
                <w:lang w:val="nl-NL"/>
              </w:rPr>
              <w:t xml:space="preserve">Wordt bij onze projecten wel begrepen </w:t>
            </w:r>
            <w:r w:rsidRPr="0024223B">
              <w:rPr>
                <w:rFonts w:ascii="Bolder" w:hAnsi="Bolder"/>
                <w:sz w:val="18"/>
                <w:szCs w:val="18"/>
                <w:lang w:val="nl-NL"/>
              </w:rPr>
              <w:t>over welke kosten we het hebben en wat de waarde is van het gepresenteerde ‘getal’</w:t>
            </w:r>
            <w:r w:rsidR="002D4B40">
              <w:rPr>
                <w:rFonts w:ascii="Bolder" w:hAnsi="Bolder"/>
                <w:sz w:val="18"/>
                <w:szCs w:val="18"/>
                <w:lang w:val="nl-NL"/>
              </w:rPr>
              <w:t>?</w:t>
            </w:r>
          </w:p>
          <w:p w14:paraId="70E46D9A" w14:textId="77777777" w:rsidR="00C76459" w:rsidRPr="0024223B" w:rsidRDefault="00C76459" w:rsidP="00C76459">
            <w:pPr>
              <w:spacing w:line="280" w:lineRule="exact"/>
              <w:rPr>
                <w:rFonts w:ascii="Bolder" w:hAnsi="Bolder"/>
                <w:sz w:val="18"/>
                <w:szCs w:val="18"/>
                <w:lang w:val="nl-NL"/>
              </w:rPr>
            </w:pPr>
          </w:p>
          <w:p w14:paraId="064DAD74" w14:textId="77777777" w:rsidR="00C76459" w:rsidRPr="0024223B" w:rsidRDefault="00C76459" w:rsidP="00C76459">
            <w:pPr>
              <w:spacing w:line="280" w:lineRule="exact"/>
              <w:rPr>
                <w:rFonts w:ascii="Bolder" w:hAnsi="Bolder"/>
                <w:sz w:val="18"/>
                <w:szCs w:val="18"/>
                <w:lang w:val="nl-NL"/>
              </w:rPr>
            </w:pPr>
            <w:r w:rsidRPr="0024223B">
              <w:rPr>
                <w:rFonts w:ascii="Bolder" w:hAnsi="Bolder"/>
                <w:sz w:val="18"/>
                <w:szCs w:val="18"/>
                <w:lang w:val="nl-NL"/>
              </w:rPr>
              <w:t>We horen graag jullie reacties.</w:t>
            </w:r>
          </w:p>
          <w:p w14:paraId="6D03DC08" w14:textId="1C32594E" w:rsidR="00C76459" w:rsidRDefault="00C76459" w:rsidP="00C76459">
            <w:pPr>
              <w:spacing w:line="280" w:lineRule="exact"/>
              <w:rPr>
                <w:rFonts w:ascii="Bolder" w:hAnsi="Bolder"/>
                <w:sz w:val="18"/>
                <w:szCs w:val="18"/>
                <w:lang w:val="nl-NL"/>
              </w:rPr>
            </w:pPr>
          </w:p>
          <w:p w14:paraId="5298B883" w14:textId="6C5082C4" w:rsidR="0024223B" w:rsidRDefault="0024223B" w:rsidP="00C76459">
            <w:pPr>
              <w:spacing w:line="280" w:lineRule="exact"/>
              <w:rPr>
                <w:rFonts w:ascii="Bolder" w:hAnsi="Bolder"/>
                <w:sz w:val="18"/>
                <w:szCs w:val="18"/>
                <w:lang w:val="nl-NL"/>
              </w:rPr>
            </w:pPr>
            <w:r>
              <w:rPr>
                <w:rFonts w:ascii="Bolder" w:hAnsi="Bolder"/>
                <w:sz w:val="18"/>
                <w:szCs w:val="18"/>
                <w:lang w:val="nl-NL"/>
              </w:rPr>
              <w:t>Dit artikel maakt onderdeel uit van een drieluik dat ingaat op: (i) samenwerking, (ii) de raming en (iii) stapeling van eisen en wensen in samenhang met schaarste.</w:t>
            </w:r>
          </w:p>
          <w:p w14:paraId="2A4590A0" w14:textId="77777777" w:rsidR="0024223B" w:rsidRPr="0024223B" w:rsidRDefault="0024223B" w:rsidP="00C76459">
            <w:pPr>
              <w:spacing w:line="280" w:lineRule="exact"/>
              <w:rPr>
                <w:rFonts w:ascii="Bolder" w:hAnsi="Bolder"/>
                <w:sz w:val="18"/>
                <w:szCs w:val="18"/>
                <w:lang w:val="nl-NL"/>
              </w:rPr>
            </w:pPr>
          </w:p>
          <w:p w14:paraId="481D1525" w14:textId="4FBEFE36" w:rsidR="00C76459" w:rsidRPr="0024223B" w:rsidRDefault="00C76459" w:rsidP="00C76459">
            <w:pPr>
              <w:spacing w:line="280" w:lineRule="exact"/>
              <w:rPr>
                <w:rFonts w:ascii="Bolder" w:hAnsi="Bolder"/>
                <w:sz w:val="18"/>
                <w:szCs w:val="18"/>
                <w:lang w:val="nl-NL"/>
              </w:rPr>
            </w:pPr>
            <w:r w:rsidRPr="0024223B">
              <w:rPr>
                <w:rFonts w:ascii="Bolder" w:hAnsi="Bolder"/>
                <w:sz w:val="18"/>
                <w:szCs w:val="18"/>
                <w:lang w:val="nl-NL"/>
              </w:rPr>
              <w:t>Name</w:t>
            </w:r>
            <w:r w:rsidR="0024223B">
              <w:rPr>
                <w:rFonts w:ascii="Bolder" w:hAnsi="Bolder"/>
                <w:sz w:val="18"/>
                <w:szCs w:val="18"/>
                <w:lang w:val="nl-NL"/>
              </w:rPr>
              <w:t>n</w:t>
            </w:r>
            <w:r w:rsidRPr="0024223B">
              <w:rPr>
                <w:rFonts w:ascii="Bolder" w:hAnsi="Bolder"/>
                <w:sz w:val="18"/>
                <w:szCs w:val="18"/>
                <w:lang w:val="nl-NL"/>
              </w:rPr>
              <w:t>s RegioIngenieur</w:t>
            </w:r>
            <w:r w:rsidR="003D23B0">
              <w:rPr>
                <w:rFonts w:ascii="Bolder" w:hAnsi="Bolder"/>
                <w:sz w:val="18"/>
                <w:szCs w:val="18"/>
                <w:lang w:val="nl-NL"/>
              </w:rPr>
              <w:t>,</w:t>
            </w:r>
          </w:p>
          <w:p w14:paraId="1EC0F832" w14:textId="77777777" w:rsidR="00C76459" w:rsidRPr="0024223B" w:rsidRDefault="00C76459" w:rsidP="00C76459">
            <w:pPr>
              <w:spacing w:line="280" w:lineRule="exact"/>
              <w:rPr>
                <w:rFonts w:ascii="Bolder" w:hAnsi="Bolder"/>
                <w:sz w:val="18"/>
                <w:szCs w:val="18"/>
                <w:lang w:val="nl-NL"/>
              </w:rPr>
            </w:pPr>
          </w:p>
          <w:p w14:paraId="00083BB5" w14:textId="6BFE6224" w:rsidR="00C76459" w:rsidRPr="0024223B" w:rsidRDefault="00C76459" w:rsidP="00C76459">
            <w:pPr>
              <w:spacing w:line="280" w:lineRule="exact"/>
              <w:rPr>
                <w:rFonts w:ascii="Bolder" w:hAnsi="Bolder"/>
                <w:sz w:val="18"/>
                <w:szCs w:val="18"/>
                <w:lang w:val="nl-NL"/>
              </w:rPr>
            </w:pPr>
            <w:r w:rsidRPr="0024223B">
              <w:rPr>
                <w:rFonts w:ascii="Bolder" w:hAnsi="Bolder"/>
                <w:sz w:val="18"/>
                <w:szCs w:val="18"/>
                <w:lang w:val="nl-NL"/>
              </w:rPr>
              <w:t>Diederik van Zanten</w:t>
            </w:r>
          </w:p>
        </w:tc>
      </w:tr>
    </w:tbl>
    <w:p w14:paraId="4B20CBC1" w14:textId="4435937D" w:rsidR="00C76459" w:rsidRPr="0024223B" w:rsidRDefault="00C76459" w:rsidP="00C76459">
      <w:pPr>
        <w:spacing w:line="280" w:lineRule="exact"/>
        <w:rPr>
          <w:rFonts w:ascii="Bolder" w:hAnsi="Bolder"/>
          <w:sz w:val="18"/>
          <w:szCs w:val="18"/>
          <w:lang w:val="nl-NL"/>
        </w:rPr>
      </w:pPr>
    </w:p>
    <w:p w14:paraId="17E63275" w14:textId="0813A1C8" w:rsidR="00EA1F8F" w:rsidRPr="0024223B" w:rsidRDefault="00D653C1" w:rsidP="00C76459">
      <w:pPr>
        <w:spacing w:line="280" w:lineRule="exact"/>
        <w:rPr>
          <w:rFonts w:ascii="Bolder" w:hAnsi="Bolder"/>
          <w:b/>
          <w:bCs/>
          <w:sz w:val="18"/>
          <w:szCs w:val="18"/>
          <w:lang w:val="nl-NL"/>
        </w:rPr>
      </w:pPr>
      <w:r>
        <w:rPr>
          <w:rFonts w:ascii="Bolder" w:hAnsi="Bolder"/>
          <w:b/>
          <w:bCs/>
          <w:sz w:val="18"/>
          <w:szCs w:val="18"/>
          <w:lang w:val="nl-NL"/>
        </w:rPr>
        <w:t xml:space="preserve">1. </w:t>
      </w:r>
      <w:r w:rsidR="00EA1F8F" w:rsidRPr="0024223B">
        <w:rPr>
          <w:rFonts w:ascii="Bolder" w:hAnsi="Bolder"/>
          <w:b/>
          <w:bCs/>
          <w:sz w:val="18"/>
          <w:szCs w:val="18"/>
          <w:lang w:val="nl-NL"/>
        </w:rPr>
        <w:t>Een toelichting op de onzekerheidsreserve.</w:t>
      </w:r>
    </w:p>
    <w:p w14:paraId="752A67A0" w14:textId="6E475C45" w:rsidR="00EA1F8F" w:rsidRPr="0024223B" w:rsidRDefault="00EA1F8F" w:rsidP="00C76459">
      <w:pPr>
        <w:spacing w:line="280" w:lineRule="exact"/>
        <w:rPr>
          <w:rFonts w:ascii="Bolder" w:hAnsi="Bolder"/>
          <w:sz w:val="18"/>
          <w:szCs w:val="18"/>
          <w:lang w:val="nl-NL"/>
        </w:rPr>
      </w:pPr>
      <w:r w:rsidRPr="0024223B">
        <w:rPr>
          <w:rFonts w:ascii="Bolder" w:hAnsi="Bolder"/>
          <w:sz w:val="18"/>
          <w:szCs w:val="18"/>
          <w:lang w:val="nl-NL"/>
        </w:rPr>
        <w:t>Wanneer we het eindresultaat van een raming krijgen</w:t>
      </w:r>
      <w:r w:rsidR="0024223B">
        <w:rPr>
          <w:rFonts w:ascii="Bolder" w:hAnsi="Bolder"/>
          <w:sz w:val="18"/>
          <w:szCs w:val="18"/>
          <w:lang w:val="nl-NL"/>
        </w:rPr>
        <w:t>,</w:t>
      </w:r>
      <w:r w:rsidRPr="0024223B">
        <w:rPr>
          <w:rFonts w:ascii="Bolder" w:hAnsi="Bolder"/>
          <w:sz w:val="18"/>
          <w:szCs w:val="18"/>
          <w:lang w:val="nl-NL"/>
        </w:rPr>
        <w:t xml:space="preserve"> willen we zien wat de gemiddelde waarde is waar het project voor kan worden gemaakt. Bij een symmetrische verdeling </w:t>
      </w:r>
      <w:r w:rsidR="00A91D27" w:rsidRPr="0024223B">
        <w:rPr>
          <w:rFonts w:ascii="Bolder" w:hAnsi="Bolder"/>
          <w:sz w:val="18"/>
          <w:szCs w:val="18"/>
          <w:lang w:val="nl-NL"/>
        </w:rPr>
        <w:t xml:space="preserve">van de </w:t>
      </w:r>
      <w:r w:rsidR="0024223B">
        <w:rPr>
          <w:rFonts w:ascii="Bolder" w:hAnsi="Bolder"/>
          <w:sz w:val="18"/>
          <w:szCs w:val="18"/>
          <w:lang w:val="nl-NL"/>
        </w:rPr>
        <w:t xml:space="preserve">geprognosticeerde </w:t>
      </w:r>
      <w:r w:rsidR="00A91D27" w:rsidRPr="0024223B">
        <w:rPr>
          <w:rFonts w:ascii="Bolder" w:hAnsi="Bolder"/>
          <w:sz w:val="18"/>
          <w:szCs w:val="18"/>
          <w:lang w:val="nl-NL"/>
        </w:rPr>
        <w:t xml:space="preserve">kosten </w:t>
      </w:r>
      <w:r w:rsidRPr="0024223B">
        <w:rPr>
          <w:rFonts w:ascii="Bolder" w:hAnsi="Bolder"/>
          <w:sz w:val="18"/>
          <w:szCs w:val="18"/>
          <w:lang w:val="nl-NL"/>
        </w:rPr>
        <w:t xml:space="preserve">is deze gemiddelde waarde gelijk aan de verwachtingswaarde en de waarde die in 50% van de gevallen wordt overschreden. We noemen deze laatste waarde de P50. Ofwel een </w:t>
      </w:r>
      <w:proofErr w:type="spellStart"/>
      <w:r w:rsidRPr="0024223B">
        <w:rPr>
          <w:rFonts w:ascii="Bolder" w:hAnsi="Bolder"/>
          <w:sz w:val="18"/>
          <w:szCs w:val="18"/>
          <w:lang w:val="nl-NL"/>
        </w:rPr>
        <w:t>Probability</w:t>
      </w:r>
      <w:proofErr w:type="spellEnd"/>
      <w:r w:rsidRPr="0024223B">
        <w:rPr>
          <w:rFonts w:ascii="Bolder" w:hAnsi="Bolder"/>
          <w:sz w:val="18"/>
          <w:szCs w:val="18"/>
          <w:lang w:val="nl-NL"/>
        </w:rPr>
        <w:t xml:space="preserve"> van 50%. Dit betekent dus dat er 50% kans is dat deze waarde wordt onderschreden en 50% dat deze wordt overschreden.</w:t>
      </w:r>
    </w:p>
    <w:p w14:paraId="76D65D02" w14:textId="77777777" w:rsidR="00EA1F8F" w:rsidRPr="0024223B" w:rsidRDefault="00EA1F8F" w:rsidP="00C76459">
      <w:pPr>
        <w:spacing w:line="280" w:lineRule="exact"/>
        <w:rPr>
          <w:rFonts w:ascii="Bolder" w:hAnsi="Bolder"/>
          <w:sz w:val="18"/>
          <w:szCs w:val="18"/>
          <w:lang w:val="nl-NL"/>
        </w:rPr>
      </w:pPr>
    </w:p>
    <w:p w14:paraId="18BB078C" w14:textId="77777777" w:rsidR="00EA1F8F" w:rsidRPr="0024223B" w:rsidRDefault="00EA1F8F" w:rsidP="00C76459">
      <w:pPr>
        <w:spacing w:line="280" w:lineRule="exact"/>
        <w:rPr>
          <w:rFonts w:ascii="Bolder" w:hAnsi="Bolder"/>
          <w:sz w:val="18"/>
          <w:szCs w:val="18"/>
          <w:lang w:val="nl-NL"/>
        </w:rPr>
      </w:pPr>
      <w:r w:rsidRPr="0024223B">
        <w:rPr>
          <w:rFonts w:ascii="Bolder" w:hAnsi="Bolder"/>
          <w:sz w:val="18"/>
          <w:szCs w:val="18"/>
          <w:lang w:val="nl-NL"/>
        </w:rPr>
        <w:t>In onderstaande gaan we in relatie tot de onzekerheidsreserve er eerst van uit dat er sprake is van een symmetrische verdeling in de kosten.</w:t>
      </w:r>
    </w:p>
    <w:p w14:paraId="5A1D3609" w14:textId="77777777" w:rsidR="00EA1F8F" w:rsidRPr="0024223B" w:rsidRDefault="00EA1F8F" w:rsidP="00C76459">
      <w:pPr>
        <w:spacing w:line="280" w:lineRule="exact"/>
        <w:rPr>
          <w:rFonts w:ascii="Bolder" w:hAnsi="Bolder"/>
          <w:sz w:val="18"/>
          <w:szCs w:val="18"/>
          <w:lang w:val="nl-NL"/>
        </w:rPr>
      </w:pPr>
    </w:p>
    <w:p w14:paraId="2DAEEF9B" w14:textId="77777777" w:rsidR="00EA1F8F" w:rsidRPr="0024223B" w:rsidRDefault="00EA1F8F" w:rsidP="00C76459">
      <w:pPr>
        <w:spacing w:line="280" w:lineRule="exact"/>
        <w:rPr>
          <w:rFonts w:ascii="Bolder" w:hAnsi="Bolder"/>
          <w:sz w:val="18"/>
          <w:szCs w:val="18"/>
          <w:lang w:val="nl-NL"/>
        </w:rPr>
      </w:pPr>
      <w:r w:rsidRPr="0024223B">
        <w:rPr>
          <w:rFonts w:ascii="Bolder" w:hAnsi="Bolder"/>
          <w:sz w:val="18"/>
          <w:szCs w:val="18"/>
          <w:lang w:val="nl-NL"/>
        </w:rPr>
        <w:t>Als we: (i) alle projecten goed ramen op basis van het gemiddelde/P50 en (ii) genoeg projecten doen, dan vallen de plussen en minnen tegen elkaar weg. Het eindresultaat van alle projecten is dan het gemiddelde van alle projecten.</w:t>
      </w:r>
    </w:p>
    <w:p w14:paraId="2B2ADC36" w14:textId="77777777" w:rsidR="00EA1F8F" w:rsidRPr="0024223B" w:rsidRDefault="00EA1F8F" w:rsidP="00C76459">
      <w:pPr>
        <w:spacing w:line="280" w:lineRule="exact"/>
        <w:rPr>
          <w:rFonts w:ascii="Bolder" w:hAnsi="Bolder"/>
          <w:sz w:val="18"/>
          <w:szCs w:val="18"/>
          <w:lang w:val="nl-NL"/>
        </w:rPr>
      </w:pPr>
    </w:p>
    <w:tbl>
      <w:tblPr>
        <w:tblStyle w:val="Tabelraster"/>
        <w:tblW w:w="0" w:type="auto"/>
        <w:shd w:val="pct15" w:color="auto" w:fill="auto"/>
        <w:tblLook w:val="04A0" w:firstRow="1" w:lastRow="0" w:firstColumn="1" w:lastColumn="0" w:noHBand="0" w:noVBand="1"/>
      </w:tblPr>
      <w:tblGrid>
        <w:gridCol w:w="9062"/>
      </w:tblGrid>
      <w:tr w:rsidR="00EA1F8F" w:rsidRPr="0024223B" w14:paraId="4D55B2D8" w14:textId="77777777" w:rsidTr="00B52301">
        <w:tc>
          <w:tcPr>
            <w:tcW w:w="9062" w:type="dxa"/>
            <w:shd w:val="pct15" w:color="auto" w:fill="auto"/>
          </w:tcPr>
          <w:p w14:paraId="264EC15C" w14:textId="77777777" w:rsidR="00EA1F8F" w:rsidRPr="0024223B" w:rsidRDefault="00EA1F8F" w:rsidP="00C76459">
            <w:pPr>
              <w:spacing w:line="280" w:lineRule="exact"/>
              <w:rPr>
                <w:rFonts w:ascii="Bolder" w:hAnsi="Bolder"/>
                <w:color w:val="00B0F0"/>
                <w:sz w:val="18"/>
                <w:szCs w:val="18"/>
                <w:lang w:val="nl-NL"/>
              </w:rPr>
            </w:pPr>
            <w:r w:rsidRPr="0024223B">
              <w:rPr>
                <w:rFonts w:ascii="Bolder" w:hAnsi="Bolder"/>
                <w:color w:val="00B0F0"/>
                <w:sz w:val="18"/>
                <w:szCs w:val="18"/>
                <w:lang w:val="nl-NL"/>
              </w:rPr>
              <w:t xml:space="preserve">Als 1 chocoladereep tussen 95 en 105 gram weegt en elke gram € 0,01 kost, zal als we maar genoeg chocoladerepen hebben het gemiddelde van al die repen 100 gram zijn en het gemiddelde van al die repen dus € 1 kosten. </w:t>
            </w:r>
          </w:p>
          <w:p w14:paraId="365CB3AD" w14:textId="77777777" w:rsidR="00EA1F8F" w:rsidRPr="0024223B" w:rsidRDefault="00EA1F8F" w:rsidP="00C76459">
            <w:pPr>
              <w:spacing w:line="280" w:lineRule="exact"/>
              <w:rPr>
                <w:rFonts w:ascii="Bolder" w:hAnsi="Bolder"/>
                <w:color w:val="00B0F0"/>
                <w:sz w:val="18"/>
                <w:szCs w:val="18"/>
                <w:lang w:val="nl-NL"/>
              </w:rPr>
            </w:pPr>
          </w:p>
          <w:p w14:paraId="1D65B1BE" w14:textId="77777777" w:rsidR="00EA1F8F" w:rsidRPr="0024223B" w:rsidRDefault="00EA1F8F" w:rsidP="00C76459">
            <w:pPr>
              <w:spacing w:line="280" w:lineRule="exact"/>
              <w:rPr>
                <w:rFonts w:ascii="Bolder" w:hAnsi="Bolder"/>
                <w:i/>
                <w:iCs/>
                <w:color w:val="00B0F0"/>
                <w:sz w:val="18"/>
                <w:szCs w:val="18"/>
                <w:u w:val="single"/>
                <w:lang w:val="nl-NL"/>
              </w:rPr>
            </w:pPr>
            <w:r w:rsidRPr="0024223B">
              <w:rPr>
                <w:rFonts w:ascii="Bolder" w:hAnsi="Bolder"/>
                <w:i/>
                <w:iCs/>
                <w:color w:val="00B0F0"/>
                <w:sz w:val="18"/>
                <w:szCs w:val="18"/>
                <w:u w:val="single"/>
                <w:lang w:val="nl-NL"/>
              </w:rPr>
              <w:t>In relatie tot een raming:</w:t>
            </w:r>
          </w:p>
          <w:p w14:paraId="61607AD9" w14:textId="6AA16A91" w:rsidR="00EA1F8F" w:rsidRPr="0024223B" w:rsidRDefault="00EA1F8F" w:rsidP="00C76459">
            <w:pPr>
              <w:spacing w:line="280" w:lineRule="exact"/>
              <w:rPr>
                <w:rFonts w:ascii="Bolder" w:hAnsi="Bolder"/>
                <w:color w:val="FF0000"/>
                <w:sz w:val="18"/>
                <w:szCs w:val="18"/>
                <w:lang w:val="nl-NL"/>
              </w:rPr>
            </w:pPr>
            <w:r w:rsidRPr="0024223B">
              <w:rPr>
                <w:rFonts w:ascii="Bolder" w:hAnsi="Bolder"/>
                <w:color w:val="00B0F0"/>
                <w:sz w:val="18"/>
                <w:szCs w:val="18"/>
                <w:lang w:val="nl-NL"/>
              </w:rPr>
              <w:t xml:space="preserve">De raming van het project is 100 gram oftewel € 1 (P50) en er zit een verdeling op. Een </w:t>
            </w:r>
            <w:r w:rsidR="00A91D27" w:rsidRPr="0024223B">
              <w:rPr>
                <w:rFonts w:ascii="Bolder" w:hAnsi="Bolder"/>
                <w:color w:val="00B0F0"/>
                <w:sz w:val="18"/>
                <w:szCs w:val="18"/>
                <w:lang w:val="nl-NL"/>
              </w:rPr>
              <w:t xml:space="preserve">15% </w:t>
            </w:r>
            <w:r w:rsidRPr="0024223B">
              <w:rPr>
                <w:rFonts w:ascii="Bolder" w:hAnsi="Bolder"/>
                <w:color w:val="00B0F0"/>
                <w:sz w:val="18"/>
                <w:szCs w:val="18"/>
                <w:lang w:val="nl-NL"/>
              </w:rPr>
              <w:t xml:space="preserve">ondergrens is 95 gram (€ 0,95) en de </w:t>
            </w:r>
            <w:r w:rsidR="00A91D27" w:rsidRPr="0024223B">
              <w:rPr>
                <w:rFonts w:ascii="Bolder" w:hAnsi="Bolder"/>
                <w:color w:val="00B0F0"/>
                <w:sz w:val="18"/>
                <w:szCs w:val="18"/>
                <w:lang w:val="nl-NL"/>
              </w:rPr>
              <w:t xml:space="preserve">15 % </w:t>
            </w:r>
            <w:r w:rsidRPr="0024223B">
              <w:rPr>
                <w:rFonts w:ascii="Bolder" w:hAnsi="Bolder"/>
                <w:color w:val="00B0F0"/>
                <w:sz w:val="18"/>
                <w:szCs w:val="18"/>
                <w:lang w:val="nl-NL"/>
              </w:rPr>
              <w:t>bovengrens 105 gram (€ 1,05 ).</w:t>
            </w:r>
          </w:p>
        </w:tc>
      </w:tr>
    </w:tbl>
    <w:p w14:paraId="6BBAE467" w14:textId="77777777" w:rsidR="00EA1F8F" w:rsidRPr="0024223B" w:rsidRDefault="00EA1F8F" w:rsidP="00C76459">
      <w:pPr>
        <w:spacing w:line="280" w:lineRule="exact"/>
        <w:rPr>
          <w:rFonts w:ascii="Bolder" w:hAnsi="Bolder"/>
          <w:sz w:val="18"/>
          <w:szCs w:val="18"/>
          <w:lang w:val="nl-NL"/>
        </w:rPr>
      </w:pPr>
    </w:p>
    <w:p w14:paraId="7BD93EBF" w14:textId="51B7831A" w:rsidR="00EA1F8F" w:rsidRPr="0024223B" w:rsidRDefault="00EA1F8F" w:rsidP="00C76459">
      <w:pPr>
        <w:spacing w:line="280" w:lineRule="exact"/>
        <w:rPr>
          <w:rFonts w:ascii="Bolder" w:hAnsi="Bolder"/>
          <w:sz w:val="18"/>
          <w:szCs w:val="18"/>
          <w:lang w:val="nl-NL"/>
        </w:rPr>
      </w:pPr>
      <w:r w:rsidRPr="0024223B">
        <w:rPr>
          <w:rFonts w:ascii="Bolder" w:hAnsi="Bolder"/>
          <w:sz w:val="18"/>
          <w:szCs w:val="18"/>
          <w:lang w:val="nl-NL"/>
        </w:rPr>
        <w:t>Het is van belang dat er genoeg projecten worden gemaakt en dat de projecten ook redelijk in dezelfde grootte zitten. Voor projecten van de buitencategorie (</w:t>
      </w:r>
      <w:r w:rsidR="0024223B">
        <w:rPr>
          <w:rFonts w:ascii="Bolder" w:hAnsi="Bolder"/>
          <w:sz w:val="18"/>
          <w:szCs w:val="18"/>
          <w:lang w:val="nl-NL"/>
        </w:rPr>
        <w:t>bv. R</w:t>
      </w:r>
      <w:r w:rsidRPr="0024223B">
        <w:rPr>
          <w:rFonts w:ascii="Bolder" w:hAnsi="Bolder"/>
          <w:sz w:val="18"/>
          <w:szCs w:val="18"/>
          <w:lang w:val="nl-NL"/>
        </w:rPr>
        <w:t xml:space="preserve">otterdam Centraal, Maastunnel) is het dan ook van belang om niet de P50 enkel als basis te nemen. </w:t>
      </w:r>
      <w:r w:rsidR="00A91D27" w:rsidRPr="0024223B">
        <w:rPr>
          <w:rFonts w:ascii="Bolder" w:hAnsi="Bolder"/>
          <w:sz w:val="18"/>
          <w:szCs w:val="18"/>
          <w:lang w:val="nl-NL"/>
        </w:rPr>
        <w:t>Voor die projecten is</w:t>
      </w:r>
      <w:r w:rsidRPr="0024223B">
        <w:rPr>
          <w:rFonts w:ascii="Bolder" w:hAnsi="Bolder"/>
          <w:sz w:val="18"/>
          <w:szCs w:val="18"/>
          <w:lang w:val="nl-NL"/>
        </w:rPr>
        <w:t xml:space="preserve"> P85 als basis </w:t>
      </w:r>
      <w:r w:rsidR="00A91D27" w:rsidRPr="0024223B">
        <w:rPr>
          <w:rFonts w:ascii="Bolder" w:hAnsi="Bolder"/>
          <w:sz w:val="18"/>
          <w:szCs w:val="18"/>
          <w:lang w:val="nl-NL"/>
        </w:rPr>
        <w:t>genomen</w:t>
      </w:r>
      <w:r w:rsidRPr="0024223B">
        <w:rPr>
          <w:rFonts w:ascii="Bolder" w:hAnsi="Bolder"/>
          <w:sz w:val="18"/>
          <w:szCs w:val="18"/>
          <w:lang w:val="nl-NL"/>
        </w:rPr>
        <w:t>. Een tegenvaller op deze projecten op de buitencategorie vraagt namelijk te veel van de andere projecten. Statistisch uitgelegd: deze buitencategorie projecten behoren niet tot dezelfde populatie als de “middelgrote projecten”.</w:t>
      </w:r>
    </w:p>
    <w:p w14:paraId="584924FD" w14:textId="77777777" w:rsidR="00EA1F8F" w:rsidRPr="0024223B" w:rsidRDefault="00EA1F8F" w:rsidP="00C76459">
      <w:pPr>
        <w:spacing w:line="280" w:lineRule="exact"/>
        <w:rPr>
          <w:rFonts w:ascii="Bolder" w:hAnsi="Bolder"/>
          <w:sz w:val="18"/>
          <w:szCs w:val="18"/>
          <w:lang w:val="nl-NL"/>
        </w:rPr>
      </w:pPr>
    </w:p>
    <w:p w14:paraId="091CE4A4" w14:textId="423E8060" w:rsidR="00EA1F8F" w:rsidRPr="0024223B" w:rsidRDefault="00EA1F8F" w:rsidP="00C76459">
      <w:pPr>
        <w:spacing w:line="280" w:lineRule="exact"/>
        <w:rPr>
          <w:rFonts w:ascii="Bolder" w:hAnsi="Bolder"/>
          <w:sz w:val="18"/>
          <w:szCs w:val="18"/>
          <w:lang w:val="nl-NL"/>
        </w:rPr>
      </w:pPr>
      <w:r w:rsidRPr="0024223B">
        <w:rPr>
          <w:rFonts w:ascii="Bolder" w:hAnsi="Bolder"/>
          <w:sz w:val="18"/>
          <w:szCs w:val="18"/>
          <w:lang w:val="nl-NL"/>
        </w:rPr>
        <w:lastRenderedPageBreak/>
        <w:t xml:space="preserve">De extra budgettaire ruimte tussen P50/gemiddelde en P85 noemen we de onzekerheidsreserve. De kans dat we onvoldoende budget hebben wordt verkleind van 50% naar 15%. Dit betekent dan ook dat die projecten een hoger budget meekrijgen en dus ook </w:t>
      </w:r>
      <w:r w:rsidR="00A91D27" w:rsidRPr="0024223B">
        <w:rPr>
          <w:rFonts w:ascii="Bolder" w:hAnsi="Bolder"/>
          <w:sz w:val="18"/>
          <w:szCs w:val="18"/>
          <w:lang w:val="nl-NL"/>
        </w:rPr>
        <w:t>met een gerede kans</w:t>
      </w:r>
      <w:r w:rsidRPr="0024223B">
        <w:rPr>
          <w:rFonts w:ascii="Bolder" w:hAnsi="Bolder"/>
          <w:sz w:val="18"/>
          <w:szCs w:val="18"/>
          <w:lang w:val="nl-NL"/>
        </w:rPr>
        <w:t xml:space="preserve"> geld zullen terugstorten.</w:t>
      </w:r>
    </w:p>
    <w:p w14:paraId="347C1C2E" w14:textId="77777777" w:rsidR="00EA1F8F" w:rsidRPr="0024223B" w:rsidRDefault="00EA1F8F" w:rsidP="00C76459">
      <w:pPr>
        <w:spacing w:line="280" w:lineRule="exact"/>
        <w:rPr>
          <w:rFonts w:ascii="Bolder" w:hAnsi="Bolder"/>
          <w:sz w:val="18"/>
          <w:szCs w:val="18"/>
          <w:lang w:val="nl-NL"/>
        </w:rPr>
      </w:pPr>
    </w:p>
    <w:tbl>
      <w:tblPr>
        <w:tblStyle w:val="Tabelraster"/>
        <w:tblW w:w="0" w:type="auto"/>
        <w:shd w:val="pct15" w:color="auto" w:fill="auto"/>
        <w:tblLook w:val="04A0" w:firstRow="1" w:lastRow="0" w:firstColumn="1" w:lastColumn="0" w:noHBand="0" w:noVBand="1"/>
      </w:tblPr>
      <w:tblGrid>
        <w:gridCol w:w="9062"/>
      </w:tblGrid>
      <w:tr w:rsidR="00EA1F8F" w:rsidRPr="0024223B" w14:paraId="47A134B6" w14:textId="77777777" w:rsidTr="00B52301">
        <w:tc>
          <w:tcPr>
            <w:tcW w:w="9062" w:type="dxa"/>
            <w:shd w:val="pct15" w:color="auto" w:fill="auto"/>
          </w:tcPr>
          <w:p w14:paraId="1851D7D2" w14:textId="77777777" w:rsidR="00EA1F8F" w:rsidRPr="0024223B" w:rsidRDefault="00EA1F8F" w:rsidP="00C76459">
            <w:pPr>
              <w:spacing w:line="280" w:lineRule="exact"/>
              <w:rPr>
                <w:rFonts w:ascii="Bolder" w:hAnsi="Bolder"/>
                <w:color w:val="00B0F0"/>
                <w:sz w:val="18"/>
                <w:szCs w:val="18"/>
                <w:lang w:val="nl-NL"/>
              </w:rPr>
            </w:pPr>
            <w:r w:rsidRPr="0024223B">
              <w:rPr>
                <w:rFonts w:ascii="Bolder" w:hAnsi="Bolder"/>
                <w:color w:val="00B0F0"/>
                <w:sz w:val="18"/>
                <w:szCs w:val="18"/>
                <w:lang w:val="nl-NL"/>
              </w:rPr>
              <w:t>Als we naast chocoladerepen van 100 gram ook één chocoladereep van 1 kilogram kopen, moeten, ten behoeve van de uitmiddeling, tien kleinere chocoladerepen het opnemen tegen een eventuele tegenvaller bij de 1 kg zware chocoladereep. De 1 kilogram zware chocoladereep kan ook weleens 1050 gram wegen, waardoor de prijs € 10,50 bedraagt.</w:t>
            </w:r>
          </w:p>
          <w:p w14:paraId="16D1553B" w14:textId="77777777" w:rsidR="00EA1F8F" w:rsidRPr="0024223B" w:rsidRDefault="00EA1F8F" w:rsidP="00C76459">
            <w:pPr>
              <w:spacing w:line="280" w:lineRule="exact"/>
              <w:rPr>
                <w:rFonts w:ascii="Bolder" w:hAnsi="Bolder"/>
                <w:color w:val="00B0F0"/>
                <w:sz w:val="18"/>
                <w:szCs w:val="18"/>
                <w:lang w:val="nl-NL"/>
              </w:rPr>
            </w:pPr>
          </w:p>
          <w:p w14:paraId="77BF65E9" w14:textId="77777777" w:rsidR="00EA1F8F" w:rsidRPr="0024223B" w:rsidRDefault="00EA1F8F" w:rsidP="00C76459">
            <w:pPr>
              <w:spacing w:line="280" w:lineRule="exact"/>
              <w:rPr>
                <w:rFonts w:ascii="Bolder" w:hAnsi="Bolder"/>
                <w:color w:val="00B0F0"/>
                <w:sz w:val="18"/>
                <w:szCs w:val="18"/>
                <w:lang w:val="nl-NL"/>
              </w:rPr>
            </w:pPr>
            <w:r w:rsidRPr="0024223B">
              <w:rPr>
                <w:rFonts w:ascii="Bolder" w:hAnsi="Bolder"/>
                <w:color w:val="00B0F0"/>
                <w:sz w:val="18"/>
                <w:szCs w:val="18"/>
                <w:lang w:val="nl-NL"/>
              </w:rPr>
              <w:t>In relatie tot de raming:</w:t>
            </w:r>
          </w:p>
          <w:p w14:paraId="04B5A5AB" w14:textId="77777777" w:rsidR="00EA1F8F" w:rsidRPr="0024223B" w:rsidRDefault="00EA1F8F" w:rsidP="00C76459">
            <w:pPr>
              <w:spacing w:line="280" w:lineRule="exact"/>
              <w:rPr>
                <w:rFonts w:ascii="Bolder" w:hAnsi="Bolder"/>
                <w:sz w:val="18"/>
                <w:szCs w:val="18"/>
                <w:lang w:val="nl-NL"/>
              </w:rPr>
            </w:pPr>
            <w:r w:rsidRPr="0024223B">
              <w:rPr>
                <w:rFonts w:ascii="Bolder" w:hAnsi="Bolder"/>
                <w:color w:val="00B0F0"/>
                <w:sz w:val="18"/>
                <w:szCs w:val="18"/>
                <w:lang w:val="nl-NL"/>
              </w:rPr>
              <w:t>Bij de 1 kilogram zware chocoladereep nemen we in het budget op dat deze 1050 gram kan wegen en dus € 10,50 kan kosten (P85).</w:t>
            </w:r>
            <w:r w:rsidRPr="0024223B">
              <w:rPr>
                <w:rFonts w:ascii="Bolder" w:hAnsi="Bolder"/>
                <w:color w:val="00B050"/>
                <w:sz w:val="18"/>
                <w:szCs w:val="18"/>
                <w:lang w:val="nl-NL"/>
              </w:rPr>
              <w:t xml:space="preserve"> </w:t>
            </w:r>
          </w:p>
        </w:tc>
      </w:tr>
    </w:tbl>
    <w:p w14:paraId="0AFA2E9A" w14:textId="0899770B" w:rsidR="00167729" w:rsidRPr="0024223B" w:rsidRDefault="00167729" w:rsidP="00C76459">
      <w:pPr>
        <w:overflowPunct/>
        <w:autoSpaceDE/>
        <w:autoSpaceDN/>
        <w:adjustRightInd/>
        <w:spacing w:line="280" w:lineRule="exact"/>
        <w:textAlignment w:val="auto"/>
        <w:rPr>
          <w:rFonts w:ascii="Bolder" w:hAnsi="Bolder"/>
          <w:sz w:val="18"/>
          <w:szCs w:val="18"/>
          <w:lang w:val="nl-NL"/>
        </w:rPr>
      </w:pPr>
    </w:p>
    <w:p w14:paraId="7BEFAD2E" w14:textId="07CAD280" w:rsidR="00EA1F8F" w:rsidRPr="0024223B" w:rsidRDefault="00EA1F8F" w:rsidP="00C76459">
      <w:pPr>
        <w:spacing w:line="280" w:lineRule="exact"/>
        <w:rPr>
          <w:rFonts w:ascii="Bolder" w:hAnsi="Bolder"/>
          <w:sz w:val="18"/>
          <w:szCs w:val="18"/>
          <w:lang w:val="nl-NL"/>
        </w:rPr>
      </w:pPr>
      <w:r w:rsidRPr="0024223B">
        <w:rPr>
          <w:rFonts w:ascii="Bolder" w:hAnsi="Bolder"/>
          <w:sz w:val="18"/>
          <w:szCs w:val="18"/>
          <w:lang w:val="nl-NL"/>
        </w:rPr>
        <w:t xml:space="preserve">Elk project moet inzichtelijk maken wat de verwachte spreiding is rond haar raming. De raad moet worden geïnformeerd omtrent de trefzekerheid. Door inzicht te verschaffen in de P15, P50 en P85 wordt een goed beeld verkregen van de mogelijkheden waar het project aan het eind van de rit in de boeken voor wordt opgenomen. </w:t>
      </w:r>
    </w:p>
    <w:p w14:paraId="34D3AF9A" w14:textId="77777777" w:rsidR="00EA1F8F" w:rsidRPr="0024223B" w:rsidRDefault="00EA1F8F" w:rsidP="00C76459">
      <w:pPr>
        <w:spacing w:line="280" w:lineRule="exact"/>
        <w:rPr>
          <w:rFonts w:ascii="Bolder" w:hAnsi="Bolder"/>
          <w:sz w:val="18"/>
          <w:szCs w:val="18"/>
          <w:lang w:val="nl-NL"/>
        </w:rPr>
      </w:pPr>
    </w:p>
    <w:p w14:paraId="20576A7C" w14:textId="6C71F483" w:rsidR="00EA1F8F" w:rsidRPr="0024223B" w:rsidRDefault="00EA1F8F" w:rsidP="00C76459">
      <w:pPr>
        <w:spacing w:line="280" w:lineRule="exact"/>
        <w:rPr>
          <w:rFonts w:ascii="Bolder" w:hAnsi="Bolder"/>
          <w:sz w:val="18"/>
          <w:szCs w:val="18"/>
          <w:lang w:val="nl-NL"/>
        </w:rPr>
      </w:pPr>
      <w:r w:rsidRPr="0024223B">
        <w:rPr>
          <w:rFonts w:ascii="Bolder" w:hAnsi="Bolder"/>
          <w:sz w:val="18"/>
          <w:szCs w:val="18"/>
          <w:lang w:val="nl-NL"/>
        </w:rPr>
        <w:t xml:space="preserve">Alle projecten moeten met hun eindresultaat terug naar het bestuur. Het is vrijwel onmogelijk om bij de eindafrekening precies uit te komen op de verwachtingswaarde, de gemiddelde waarde of de P50. We zullen of geld terug moeten storten </w:t>
      </w:r>
      <w:proofErr w:type="spellStart"/>
      <w:r w:rsidRPr="0024223B">
        <w:rPr>
          <w:rFonts w:ascii="Bolder" w:hAnsi="Bolder"/>
          <w:sz w:val="18"/>
          <w:szCs w:val="18"/>
          <w:lang w:val="nl-NL"/>
        </w:rPr>
        <w:t>danwel</w:t>
      </w:r>
      <w:proofErr w:type="spellEnd"/>
      <w:r w:rsidRPr="0024223B">
        <w:rPr>
          <w:rFonts w:ascii="Bolder" w:hAnsi="Bolder"/>
          <w:sz w:val="18"/>
          <w:szCs w:val="18"/>
          <w:lang w:val="nl-NL"/>
        </w:rPr>
        <w:t xml:space="preserve"> geld moeten ophalen. Dat is helemaal logisch. We hebben </w:t>
      </w:r>
      <w:r w:rsidR="00C50773" w:rsidRPr="0024223B">
        <w:rPr>
          <w:rFonts w:ascii="Bolder" w:hAnsi="Bolder"/>
          <w:sz w:val="18"/>
          <w:szCs w:val="18"/>
          <w:lang w:val="nl-NL"/>
        </w:rPr>
        <w:t xml:space="preserve">bij de kredietaanvraag een budget </w:t>
      </w:r>
      <w:r w:rsidR="00167729" w:rsidRPr="0024223B">
        <w:rPr>
          <w:rFonts w:ascii="Bolder" w:hAnsi="Bolder"/>
          <w:sz w:val="18"/>
          <w:szCs w:val="18"/>
          <w:lang w:val="nl-NL"/>
        </w:rPr>
        <w:t>aangevraagd op</w:t>
      </w:r>
      <w:r w:rsidR="00C50773" w:rsidRPr="0024223B">
        <w:rPr>
          <w:rFonts w:ascii="Bolder" w:hAnsi="Bolder"/>
          <w:sz w:val="18"/>
          <w:szCs w:val="18"/>
          <w:lang w:val="nl-NL"/>
        </w:rPr>
        <w:t xml:space="preserve"> basis van de </w:t>
      </w:r>
      <w:r w:rsidRPr="0024223B">
        <w:rPr>
          <w:rFonts w:ascii="Bolder" w:hAnsi="Bolder"/>
          <w:sz w:val="18"/>
          <w:szCs w:val="18"/>
          <w:lang w:val="nl-NL"/>
        </w:rPr>
        <w:t xml:space="preserve">gemiddelde waarde en </w:t>
      </w:r>
      <w:r w:rsidR="00C50773" w:rsidRPr="0024223B">
        <w:rPr>
          <w:rFonts w:ascii="Bolder" w:hAnsi="Bolder"/>
          <w:sz w:val="18"/>
          <w:szCs w:val="18"/>
          <w:lang w:val="nl-NL"/>
        </w:rPr>
        <w:t xml:space="preserve">dat is </w:t>
      </w:r>
      <w:r w:rsidRPr="0024223B">
        <w:rPr>
          <w:rFonts w:ascii="Bolder" w:hAnsi="Bolder"/>
          <w:sz w:val="18"/>
          <w:szCs w:val="18"/>
          <w:lang w:val="nl-NL"/>
        </w:rPr>
        <w:t>geen vast bedrag. Waar het uiteindelijk om gaat is dat je moet kunnen verklaren waarom je op het eindbedrag bent uitgekomen, in relatie tot de kredietraming.</w:t>
      </w:r>
    </w:p>
    <w:p w14:paraId="549CEA71" w14:textId="77777777" w:rsidR="00EA1F8F" w:rsidRPr="0024223B" w:rsidRDefault="00EA1F8F" w:rsidP="00C76459">
      <w:pPr>
        <w:spacing w:line="280" w:lineRule="exact"/>
        <w:rPr>
          <w:rFonts w:ascii="Bolder" w:hAnsi="Bolder"/>
          <w:sz w:val="18"/>
          <w:szCs w:val="18"/>
          <w:lang w:val="nl-NL"/>
        </w:rPr>
      </w:pPr>
    </w:p>
    <w:p w14:paraId="22DAD143" w14:textId="77777777" w:rsidR="00EA1F8F" w:rsidRPr="0024223B" w:rsidRDefault="00EA1F8F" w:rsidP="00C76459">
      <w:pPr>
        <w:spacing w:line="240" w:lineRule="auto"/>
        <w:rPr>
          <w:rFonts w:ascii="Bolder" w:hAnsi="Bolder"/>
          <w:sz w:val="18"/>
          <w:szCs w:val="18"/>
          <w:lang w:val="nl-NL"/>
        </w:rPr>
      </w:pPr>
      <w:r w:rsidRPr="0024223B">
        <w:rPr>
          <w:rFonts w:ascii="Bolder" w:hAnsi="Bolder"/>
          <w:noProof/>
          <w:sz w:val="18"/>
          <w:szCs w:val="18"/>
          <w:lang w:val="nl-NL"/>
        </w:rPr>
        <mc:AlternateContent>
          <mc:Choice Requires="wps">
            <w:drawing>
              <wp:anchor distT="0" distB="0" distL="114300" distR="114300" simplePos="0" relativeHeight="251660288" behindDoc="0" locked="0" layoutInCell="1" allowOverlap="1" wp14:anchorId="46FCDA9F" wp14:editId="6D5BEB96">
                <wp:simplePos x="0" y="0"/>
                <wp:positionH relativeFrom="column">
                  <wp:posOffset>3863225</wp:posOffset>
                </wp:positionH>
                <wp:positionV relativeFrom="paragraph">
                  <wp:posOffset>2541270</wp:posOffset>
                </wp:positionV>
                <wp:extent cx="914400" cy="290945"/>
                <wp:effectExtent l="0" t="0" r="20320" b="13970"/>
                <wp:wrapNone/>
                <wp:docPr id="4" name="Tekstvak 4"/>
                <wp:cNvGraphicFramePr/>
                <a:graphic xmlns:a="http://schemas.openxmlformats.org/drawingml/2006/main">
                  <a:graphicData uri="http://schemas.microsoft.com/office/word/2010/wordprocessingShape">
                    <wps:wsp>
                      <wps:cNvSpPr txBox="1"/>
                      <wps:spPr>
                        <a:xfrm>
                          <a:off x="0" y="0"/>
                          <a:ext cx="914400" cy="290945"/>
                        </a:xfrm>
                        <a:prstGeom prst="rect">
                          <a:avLst/>
                        </a:prstGeom>
                        <a:solidFill>
                          <a:schemeClr val="lt1"/>
                        </a:solidFill>
                        <a:ln w="6350">
                          <a:solidFill>
                            <a:prstClr val="black"/>
                          </a:solidFill>
                        </a:ln>
                      </wps:spPr>
                      <wps:txbx>
                        <w:txbxContent>
                          <w:p w14:paraId="0B7FDF68" w14:textId="77777777" w:rsidR="00EA1F8F" w:rsidRDefault="00EA1F8F" w:rsidP="00EA1F8F">
                            <w:r>
                              <w:t>P85%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FCDA9F" id="_x0000_t202" coordsize="21600,21600" o:spt="202" path="m,l,21600r21600,l21600,xe">
                <v:stroke joinstyle="miter"/>
                <v:path gradientshapeok="t" o:connecttype="rect"/>
              </v:shapetype>
              <v:shape id="Tekstvak 4" o:spid="_x0000_s1026" type="#_x0000_t202" style="position:absolute;margin-left:304.2pt;margin-top:200.1pt;width:1in;height:22.9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" fillcolor="white [3201]" strokeweight=".5pt">
                <v:textbox>
                  <w:txbxContent>
                    <w:p w14:paraId="0B7FDF68" w14:textId="77777777" w:rsidR="00EA1F8F" w:rsidRDefault="00EA1F8F" w:rsidP="00EA1F8F">
                      <w:r>
                        <w:t>P85%</w:t>
                      </w:r>
                    </w:p>
                  </w:txbxContent>
                </v:textbox>
              </v:shape>
            </w:pict>
          </mc:Fallback>
        </mc:AlternateContent>
      </w:r>
      <w:r w:rsidRPr="0024223B">
        <w:rPr>
          <w:rFonts w:ascii="Bolder" w:hAnsi="Bolder"/>
          <w:noProof/>
          <w:sz w:val="18"/>
          <w:szCs w:val="18"/>
          <w:lang w:val="nl-NL"/>
        </w:rPr>
        <mc:AlternateContent>
          <mc:Choice Requires="wps">
            <w:drawing>
              <wp:anchor distT="0" distB="0" distL="114300" distR="114300" simplePos="0" relativeHeight="251659264" behindDoc="0" locked="0" layoutInCell="1" allowOverlap="1" wp14:anchorId="7A69D3EC" wp14:editId="48F3FD72">
                <wp:simplePos x="0" y="0"/>
                <wp:positionH relativeFrom="column">
                  <wp:posOffset>2839027</wp:posOffset>
                </wp:positionH>
                <wp:positionV relativeFrom="paragraph">
                  <wp:posOffset>3131993</wp:posOffset>
                </wp:positionV>
                <wp:extent cx="914400" cy="332509"/>
                <wp:effectExtent l="0" t="0" r="20320" b="10795"/>
                <wp:wrapNone/>
                <wp:docPr id="2" name="Tekstvak 2"/>
                <wp:cNvGraphicFramePr/>
                <a:graphic xmlns:a="http://schemas.openxmlformats.org/drawingml/2006/main">
                  <a:graphicData uri="http://schemas.microsoft.com/office/word/2010/wordprocessingShape">
                    <wps:wsp>
                      <wps:cNvSpPr txBox="1"/>
                      <wps:spPr>
                        <a:xfrm>
                          <a:off x="0" y="0"/>
                          <a:ext cx="914400" cy="332509"/>
                        </a:xfrm>
                        <a:prstGeom prst="rect">
                          <a:avLst/>
                        </a:prstGeom>
                        <a:solidFill>
                          <a:schemeClr val="lt1"/>
                        </a:solidFill>
                        <a:ln w="6350">
                          <a:solidFill>
                            <a:prstClr val="black"/>
                          </a:solidFill>
                        </a:ln>
                      </wps:spPr>
                      <wps:txbx>
                        <w:txbxContent>
                          <w:p w14:paraId="789B01DE" w14:textId="77777777" w:rsidR="00EA1F8F" w:rsidRDefault="00EA1F8F" w:rsidP="00EA1F8F">
                            <w:r>
                              <w:t>P50%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69D3EC" id="Tekstvak 2" o:spid="_x0000_s1027" type="#_x0000_t202" style="position:absolute;margin-left:223.55pt;margin-top:246.6pt;width:1in;height:26.2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" fillcolor="white [3201]" strokeweight=".5pt">
                <v:textbox>
                  <w:txbxContent>
                    <w:p w14:paraId="789B01DE" w14:textId="77777777" w:rsidR="00EA1F8F" w:rsidRDefault="00EA1F8F" w:rsidP="00EA1F8F">
                      <w:r>
                        <w:t>P50%</w:t>
                      </w:r>
                    </w:p>
                  </w:txbxContent>
                </v:textbox>
              </v:shape>
            </w:pict>
          </mc:Fallback>
        </mc:AlternateContent>
      </w:r>
      <w:r w:rsidRPr="0024223B">
        <w:rPr>
          <w:rFonts w:ascii="Bolder" w:hAnsi="Bolder"/>
          <w:noProof/>
          <w:sz w:val="18"/>
          <w:szCs w:val="18"/>
          <w:lang w:val="nl-NL"/>
        </w:rPr>
        <w:drawing>
          <wp:inline distT="0" distB="0" distL="0" distR="0" wp14:anchorId="534EC9DE" wp14:editId="10A3201E">
            <wp:extent cx="5760720" cy="3611880"/>
            <wp:effectExtent l="19050" t="19050" r="11430" b="266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611880"/>
                    </a:xfrm>
                    <a:prstGeom prst="rect">
                      <a:avLst/>
                    </a:prstGeom>
                    <a:ln>
                      <a:solidFill>
                        <a:schemeClr val="tx1"/>
                      </a:solidFill>
                    </a:ln>
                  </pic:spPr>
                </pic:pic>
              </a:graphicData>
            </a:graphic>
          </wp:inline>
        </w:drawing>
      </w:r>
    </w:p>
    <w:p w14:paraId="3F9AB382" w14:textId="56B6E50D" w:rsidR="00EA1F8F" w:rsidRPr="00D653C1" w:rsidRDefault="0024223B" w:rsidP="00C76459">
      <w:pPr>
        <w:spacing w:line="280" w:lineRule="exact"/>
        <w:rPr>
          <w:rFonts w:ascii="Bolder" w:hAnsi="Bolder"/>
          <w:b/>
          <w:bCs/>
          <w:sz w:val="16"/>
          <w:szCs w:val="16"/>
          <w:lang w:val="nl-NL"/>
        </w:rPr>
      </w:pPr>
      <w:r w:rsidRPr="00D653C1">
        <w:rPr>
          <w:rFonts w:ascii="Bolder" w:hAnsi="Bolder"/>
          <w:b/>
          <w:bCs/>
          <w:sz w:val="16"/>
          <w:szCs w:val="16"/>
          <w:lang w:val="nl-NL"/>
        </w:rPr>
        <w:t>Opbouw budgetraming</w:t>
      </w:r>
    </w:p>
    <w:p w14:paraId="2CE55699" w14:textId="77777777" w:rsidR="00EA1F8F" w:rsidRPr="0024223B" w:rsidRDefault="00EA1F8F" w:rsidP="00C76459">
      <w:pPr>
        <w:spacing w:line="280" w:lineRule="exact"/>
        <w:rPr>
          <w:rFonts w:ascii="Bolder" w:hAnsi="Bolder"/>
          <w:sz w:val="18"/>
          <w:szCs w:val="18"/>
          <w:lang w:val="nl-NL"/>
        </w:rPr>
      </w:pPr>
    </w:p>
    <w:p w14:paraId="2FB9A97C" w14:textId="77777777" w:rsidR="00D653C1" w:rsidRDefault="00D653C1">
      <w:pPr>
        <w:overflowPunct/>
        <w:autoSpaceDE/>
        <w:autoSpaceDN/>
        <w:adjustRightInd/>
        <w:spacing w:line="260" w:lineRule="exact"/>
        <w:textAlignment w:val="auto"/>
        <w:rPr>
          <w:rFonts w:ascii="Bolder" w:hAnsi="Bolder"/>
          <w:sz w:val="18"/>
          <w:szCs w:val="18"/>
          <w:lang w:val="nl-NL"/>
        </w:rPr>
      </w:pPr>
      <w:r>
        <w:rPr>
          <w:rFonts w:ascii="Bolder" w:hAnsi="Bolder"/>
          <w:sz w:val="18"/>
          <w:szCs w:val="18"/>
          <w:lang w:val="nl-NL"/>
        </w:rPr>
        <w:br w:type="page"/>
      </w:r>
    </w:p>
    <w:p w14:paraId="7537F349" w14:textId="5792A465" w:rsidR="00EA1F8F" w:rsidRPr="0024223B" w:rsidRDefault="00EA1F8F" w:rsidP="00C76459">
      <w:pPr>
        <w:spacing w:line="280" w:lineRule="exact"/>
        <w:rPr>
          <w:rFonts w:ascii="Bolder" w:hAnsi="Bolder"/>
          <w:sz w:val="18"/>
          <w:szCs w:val="18"/>
          <w:lang w:val="nl-NL"/>
        </w:rPr>
      </w:pPr>
      <w:r w:rsidRPr="0024223B">
        <w:rPr>
          <w:rFonts w:ascii="Bolder" w:hAnsi="Bolder"/>
          <w:sz w:val="18"/>
          <w:szCs w:val="18"/>
          <w:lang w:val="nl-NL"/>
        </w:rPr>
        <w:lastRenderedPageBreak/>
        <w:t xml:space="preserve">Alle projecten die een budget krijgen van P50 moeten wel een gedegen raming hebben. Want als de raming niet compleet is, of er zijn bepaalde zaken te rooskleurig ingevuld dan is er geen sprake van een gedegen P50. Dit betekent dan ook dat bovenstaande uitmiddelen van plussen en minnen niet meer werkt. Er komen namelijk ‘meer tegenvallers’ dan meevallers. </w:t>
      </w:r>
      <w:r w:rsidR="00A91D27" w:rsidRPr="0024223B">
        <w:rPr>
          <w:rFonts w:ascii="Bolder" w:hAnsi="Bolder"/>
          <w:sz w:val="18"/>
          <w:szCs w:val="18"/>
          <w:lang w:val="nl-NL"/>
        </w:rPr>
        <w:t xml:space="preserve">Het zijn </w:t>
      </w:r>
      <w:r w:rsidR="0024223B" w:rsidRPr="0024223B">
        <w:rPr>
          <w:rFonts w:ascii="Bolder" w:hAnsi="Bolder"/>
          <w:sz w:val="18"/>
          <w:szCs w:val="18"/>
          <w:lang w:val="nl-NL"/>
        </w:rPr>
        <w:t>eigenlijk</w:t>
      </w:r>
      <w:r w:rsidR="00A91D27" w:rsidRPr="0024223B">
        <w:rPr>
          <w:rFonts w:ascii="Bolder" w:hAnsi="Bolder"/>
          <w:sz w:val="18"/>
          <w:szCs w:val="18"/>
          <w:lang w:val="nl-NL"/>
        </w:rPr>
        <w:t xml:space="preserve"> geen tegenvallers, maar niet begrote onderdelen van het project. </w:t>
      </w:r>
      <w:r w:rsidRPr="0024223B">
        <w:rPr>
          <w:rFonts w:ascii="Bolder" w:hAnsi="Bolder"/>
          <w:sz w:val="18"/>
          <w:szCs w:val="18"/>
          <w:lang w:val="nl-NL"/>
        </w:rPr>
        <w:t>Dit heeft negatieve gevolgen van de balans</w:t>
      </w:r>
      <w:r w:rsidR="00A91D27" w:rsidRPr="0024223B">
        <w:rPr>
          <w:rFonts w:ascii="Bolder" w:hAnsi="Bolder"/>
          <w:sz w:val="18"/>
          <w:szCs w:val="18"/>
          <w:lang w:val="nl-NL"/>
        </w:rPr>
        <w:t xml:space="preserve"> van de gemeente</w:t>
      </w:r>
      <w:r w:rsidRPr="0024223B">
        <w:rPr>
          <w:rFonts w:ascii="Bolder" w:hAnsi="Bolder"/>
          <w:sz w:val="18"/>
          <w:szCs w:val="18"/>
          <w:lang w:val="nl-NL"/>
        </w:rPr>
        <w:t>.</w:t>
      </w:r>
    </w:p>
    <w:p w14:paraId="7E7D3133" w14:textId="77777777" w:rsidR="00EA1F8F" w:rsidRPr="0024223B" w:rsidRDefault="00EA1F8F" w:rsidP="00C76459">
      <w:pPr>
        <w:spacing w:line="280" w:lineRule="exact"/>
        <w:rPr>
          <w:rFonts w:ascii="Bolder" w:hAnsi="Bolder"/>
          <w:sz w:val="18"/>
          <w:szCs w:val="18"/>
          <w:lang w:val="nl-NL"/>
        </w:rPr>
      </w:pPr>
    </w:p>
    <w:tbl>
      <w:tblPr>
        <w:tblStyle w:val="Tabelraster"/>
        <w:tblW w:w="0" w:type="auto"/>
        <w:shd w:val="pct15" w:color="auto" w:fill="auto"/>
        <w:tblLook w:val="04A0" w:firstRow="1" w:lastRow="0" w:firstColumn="1" w:lastColumn="0" w:noHBand="0" w:noVBand="1"/>
      </w:tblPr>
      <w:tblGrid>
        <w:gridCol w:w="9062"/>
      </w:tblGrid>
      <w:tr w:rsidR="00EA1F8F" w:rsidRPr="0024223B" w14:paraId="4E61E5B7" w14:textId="77777777" w:rsidTr="00B52301">
        <w:tc>
          <w:tcPr>
            <w:tcW w:w="9062" w:type="dxa"/>
            <w:shd w:val="pct15" w:color="auto" w:fill="auto"/>
          </w:tcPr>
          <w:p w14:paraId="23D57122" w14:textId="77777777" w:rsidR="00EA1F8F" w:rsidRPr="0024223B" w:rsidRDefault="00EA1F8F" w:rsidP="00C76459">
            <w:pPr>
              <w:spacing w:line="280" w:lineRule="exact"/>
              <w:rPr>
                <w:rFonts w:ascii="Bolder" w:hAnsi="Bolder"/>
                <w:sz w:val="18"/>
                <w:szCs w:val="18"/>
                <w:lang w:val="nl-NL"/>
              </w:rPr>
            </w:pPr>
            <w:r w:rsidRPr="0024223B">
              <w:rPr>
                <w:rFonts w:ascii="Bolder" w:hAnsi="Bolder"/>
                <w:color w:val="00B0F0"/>
                <w:sz w:val="18"/>
                <w:szCs w:val="18"/>
                <w:lang w:val="nl-NL"/>
              </w:rPr>
              <w:t>We denken dat de chocoladerepen wegen tussen 95 en 105 gram. Maar als we niet compleet blijken te zijn en ze wegen tussen 97 en 107 gram, komen we met onze € 1 per chocoladereep gewoon geld tekort. Voor € 102 krijgen we dan 100 chocoladerepen en geen 102.</w:t>
            </w:r>
          </w:p>
        </w:tc>
      </w:tr>
    </w:tbl>
    <w:p w14:paraId="1F377486" w14:textId="5CFDC0EC" w:rsidR="00EA1F8F" w:rsidRPr="0024223B" w:rsidRDefault="00EA1F8F" w:rsidP="00C76459">
      <w:pPr>
        <w:spacing w:line="280" w:lineRule="exact"/>
        <w:rPr>
          <w:rFonts w:ascii="Bolder" w:hAnsi="Bolder"/>
          <w:sz w:val="18"/>
          <w:szCs w:val="18"/>
          <w:lang w:val="nl-NL"/>
        </w:rPr>
      </w:pPr>
    </w:p>
    <w:p w14:paraId="2D7DFA9E" w14:textId="18C4D13B" w:rsidR="00EA1F8F" w:rsidRPr="00D653C1" w:rsidRDefault="00D653C1" w:rsidP="00C76459">
      <w:pPr>
        <w:spacing w:line="280" w:lineRule="exact"/>
        <w:rPr>
          <w:rFonts w:ascii="Bolder" w:hAnsi="Bolder"/>
          <w:b/>
          <w:bCs/>
          <w:sz w:val="18"/>
          <w:szCs w:val="18"/>
          <w:lang w:val="nl-NL"/>
        </w:rPr>
      </w:pPr>
      <w:r>
        <w:rPr>
          <w:rFonts w:ascii="Bolder" w:hAnsi="Bolder"/>
          <w:b/>
          <w:bCs/>
          <w:sz w:val="18"/>
          <w:szCs w:val="18"/>
          <w:lang w:val="nl-NL"/>
        </w:rPr>
        <w:t xml:space="preserve">2. </w:t>
      </w:r>
      <w:r w:rsidR="00EA1F8F" w:rsidRPr="00D653C1">
        <w:rPr>
          <w:rFonts w:ascii="Bolder" w:hAnsi="Bolder"/>
          <w:b/>
          <w:bCs/>
          <w:sz w:val="18"/>
          <w:szCs w:val="18"/>
          <w:lang w:val="nl-NL"/>
        </w:rPr>
        <w:t>Scheve verdeling</w:t>
      </w:r>
    </w:p>
    <w:p w14:paraId="5504533E" w14:textId="1D5E5626" w:rsidR="00EA1F8F" w:rsidRPr="0024223B" w:rsidRDefault="00D653C1" w:rsidP="00C76459">
      <w:pPr>
        <w:spacing w:line="280" w:lineRule="exact"/>
        <w:rPr>
          <w:rFonts w:ascii="Bolder" w:hAnsi="Bolder"/>
          <w:sz w:val="18"/>
          <w:szCs w:val="18"/>
          <w:lang w:val="nl-NL"/>
        </w:rPr>
      </w:pPr>
      <w:r>
        <w:rPr>
          <w:rFonts w:ascii="Bolder" w:hAnsi="Bolder"/>
          <w:sz w:val="18"/>
          <w:szCs w:val="18"/>
          <w:lang w:val="nl-NL"/>
        </w:rPr>
        <w:t>In b</w:t>
      </w:r>
      <w:r w:rsidR="00EA1F8F" w:rsidRPr="0024223B">
        <w:rPr>
          <w:rFonts w:ascii="Bolder" w:hAnsi="Bolder"/>
          <w:sz w:val="18"/>
          <w:szCs w:val="18"/>
          <w:lang w:val="nl-NL"/>
        </w:rPr>
        <w:t>ovenstaand</w:t>
      </w:r>
      <w:r>
        <w:rPr>
          <w:rFonts w:ascii="Bolder" w:hAnsi="Bolder"/>
          <w:sz w:val="18"/>
          <w:szCs w:val="18"/>
          <w:lang w:val="nl-NL"/>
        </w:rPr>
        <w:t xml:space="preserve">e is </w:t>
      </w:r>
      <w:r w:rsidR="00EA1F8F" w:rsidRPr="0024223B">
        <w:rPr>
          <w:rFonts w:ascii="Bolder" w:hAnsi="Bolder"/>
          <w:sz w:val="18"/>
          <w:szCs w:val="18"/>
          <w:lang w:val="nl-NL"/>
        </w:rPr>
        <w:t>uitgegaan van een symmetrische verdeling. Dat is niet altijd het geval. In de verdeling van de kosten kan er sprake zijn van een scheve verdeling (</w:t>
      </w:r>
      <w:proofErr w:type="spellStart"/>
      <w:r w:rsidR="00EA1F8F" w:rsidRPr="0024223B">
        <w:rPr>
          <w:rFonts w:ascii="Bolder" w:hAnsi="Bolder"/>
          <w:sz w:val="18"/>
          <w:szCs w:val="18"/>
          <w:lang w:val="nl-NL"/>
        </w:rPr>
        <w:t>skew</w:t>
      </w:r>
      <w:proofErr w:type="spellEnd"/>
      <w:r w:rsidR="00EA1F8F" w:rsidRPr="0024223B">
        <w:rPr>
          <w:rFonts w:ascii="Bolder" w:hAnsi="Bolder"/>
          <w:sz w:val="18"/>
          <w:szCs w:val="18"/>
          <w:lang w:val="nl-NL"/>
        </w:rPr>
        <w:t xml:space="preserve">, zie onderstaande figuur). </w:t>
      </w:r>
    </w:p>
    <w:p w14:paraId="21FA552E" w14:textId="77777777" w:rsidR="00EA1F8F" w:rsidRPr="0024223B" w:rsidRDefault="00EA1F8F" w:rsidP="00C76459">
      <w:pPr>
        <w:spacing w:line="280" w:lineRule="exact"/>
        <w:rPr>
          <w:rFonts w:ascii="Bolder" w:hAnsi="Bolder"/>
          <w:sz w:val="18"/>
          <w:szCs w:val="18"/>
          <w:lang w:val="nl-NL"/>
        </w:rPr>
      </w:pPr>
    </w:p>
    <w:p w14:paraId="1BA28F85" w14:textId="77777777" w:rsidR="00EA1F8F" w:rsidRPr="0024223B" w:rsidRDefault="00EA1F8F" w:rsidP="00C76459">
      <w:pPr>
        <w:spacing w:line="240" w:lineRule="auto"/>
        <w:rPr>
          <w:rFonts w:ascii="Bolder" w:hAnsi="Bolder"/>
          <w:sz w:val="18"/>
          <w:szCs w:val="18"/>
          <w:lang w:val="nl-NL"/>
        </w:rPr>
      </w:pPr>
      <w:r w:rsidRPr="0024223B">
        <w:rPr>
          <w:rFonts w:ascii="Bolder" w:hAnsi="Bolder"/>
          <w:noProof/>
          <w:sz w:val="18"/>
          <w:szCs w:val="18"/>
          <w:lang w:val="nl-NL"/>
        </w:rPr>
        <w:drawing>
          <wp:inline distT="0" distB="0" distL="0" distR="0" wp14:anchorId="5D13E9E6" wp14:editId="600115F0">
            <wp:extent cx="5400000" cy="1959676"/>
            <wp:effectExtent l="19050" t="19050" r="10795" b="215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00" cy="1959676"/>
                    </a:xfrm>
                    <a:prstGeom prst="rect">
                      <a:avLst/>
                    </a:prstGeom>
                    <a:noFill/>
                    <a:ln>
                      <a:solidFill>
                        <a:schemeClr val="tx1"/>
                      </a:solidFill>
                    </a:ln>
                  </pic:spPr>
                </pic:pic>
              </a:graphicData>
            </a:graphic>
          </wp:inline>
        </w:drawing>
      </w:r>
    </w:p>
    <w:p w14:paraId="46689192" w14:textId="77777777" w:rsidR="00EA1F8F" w:rsidRPr="00D653C1" w:rsidRDefault="00EA1F8F" w:rsidP="00C76459">
      <w:pPr>
        <w:spacing w:line="280" w:lineRule="exact"/>
        <w:rPr>
          <w:rFonts w:ascii="Bolder" w:hAnsi="Bolder"/>
          <w:b/>
          <w:bCs/>
          <w:sz w:val="16"/>
          <w:szCs w:val="16"/>
          <w:lang w:val="nl-NL"/>
        </w:rPr>
      </w:pPr>
      <w:r w:rsidRPr="00D653C1">
        <w:rPr>
          <w:rFonts w:ascii="Bolder" w:hAnsi="Bolder"/>
          <w:b/>
          <w:bCs/>
          <w:sz w:val="16"/>
          <w:szCs w:val="16"/>
          <w:lang w:val="nl-NL"/>
        </w:rPr>
        <w:t>Negatieve en positieve scheefte</w:t>
      </w:r>
    </w:p>
    <w:p w14:paraId="34A566FB" w14:textId="77777777" w:rsidR="00EA1F8F" w:rsidRPr="0024223B" w:rsidRDefault="00EA1F8F" w:rsidP="00C76459">
      <w:pPr>
        <w:spacing w:line="280" w:lineRule="exact"/>
        <w:rPr>
          <w:rFonts w:ascii="Bolder" w:hAnsi="Bolder"/>
          <w:sz w:val="18"/>
          <w:szCs w:val="18"/>
          <w:lang w:val="nl-NL"/>
        </w:rPr>
      </w:pPr>
    </w:p>
    <w:p w14:paraId="486C75F6" w14:textId="5C7273D7" w:rsidR="00EA1F8F" w:rsidRPr="0024223B" w:rsidRDefault="00EA1F8F" w:rsidP="00C76459">
      <w:pPr>
        <w:spacing w:line="280" w:lineRule="exact"/>
        <w:rPr>
          <w:rFonts w:ascii="Bolder" w:hAnsi="Bolder"/>
          <w:sz w:val="18"/>
          <w:szCs w:val="18"/>
          <w:lang w:val="nl-NL"/>
        </w:rPr>
      </w:pPr>
      <w:r w:rsidRPr="0024223B">
        <w:rPr>
          <w:rFonts w:ascii="Bolder" w:hAnsi="Bolder"/>
          <w:sz w:val="18"/>
          <w:szCs w:val="18"/>
          <w:lang w:val="nl-NL"/>
        </w:rPr>
        <w:t xml:space="preserve">De termen verwachtingswaarde, gemiddelde waarde en P50 hebben dan alle drie een ander resultaat. De verwachtingswaarde is de waarde met de hoogste kans van optreden. We spreken dan ook wel van de T-waarde. De gemiddelde waarde en de P50 wijken bij een scheve verdeling af van de T-waarde. Bij een positieve </w:t>
      </w:r>
      <w:proofErr w:type="spellStart"/>
      <w:r w:rsidRPr="0024223B">
        <w:rPr>
          <w:rFonts w:ascii="Bolder" w:hAnsi="Bolder"/>
          <w:sz w:val="18"/>
          <w:szCs w:val="18"/>
          <w:lang w:val="nl-NL"/>
        </w:rPr>
        <w:t>skew</w:t>
      </w:r>
      <w:proofErr w:type="spellEnd"/>
      <w:r w:rsidRPr="0024223B">
        <w:rPr>
          <w:rFonts w:ascii="Bolder" w:hAnsi="Bolder"/>
          <w:sz w:val="18"/>
          <w:szCs w:val="18"/>
          <w:lang w:val="nl-NL"/>
        </w:rPr>
        <w:t xml:space="preserve"> liggen deze hoger dan de T-waarde en bij een negatieve </w:t>
      </w:r>
      <w:proofErr w:type="spellStart"/>
      <w:r w:rsidRPr="0024223B">
        <w:rPr>
          <w:rFonts w:ascii="Bolder" w:hAnsi="Bolder"/>
          <w:sz w:val="18"/>
          <w:szCs w:val="18"/>
          <w:lang w:val="nl-NL"/>
        </w:rPr>
        <w:t>skew</w:t>
      </w:r>
      <w:proofErr w:type="spellEnd"/>
      <w:r w:rsidRPr="0024223B">
        <w:rPr>
          <w:rFonts w:ascii="Bolder" w:hAnsi="Bolder"/>
          <w:sz w:val="18"/>
          <w:szCs w:val="18"/>
          <w:lang w:val="nl-NL"/>
        </w:rPr>
        <w:t xml:space="preserve"> lager. Wanneer er een probabilistische kostencalculatie wordt gemaakt, waarbij ook de risicoanalyse wordt betrokken (</w:t>
      </w:r>
      <w:proofErr w:type="spellStart"/>
      <w:r w:rsidRPr="0024223B">
        <w:rPr>
          <w:rFonts w:ascii="Bolder" w:hAnsi="Bolder"/>
          <w:sz w:val="18"/>
          <w:szCs w:val="18"/>
          <w:lang w:val="nl-NL"/>
        </w:rPr>
        <w:t>kansinschatting</w:t>
      </w:r>
      <w:proofErr w:type="spellEnd"/>
      <w:r w:rsidRPr="0024223B">
        <w:rPr>
          <w:rFonts w:ascii="Bolder" w:hAnsi="Bolder"/>
          <w:sz w:val="18"/>
          <w:szCs w:val="18"/>
          <w:lang w:val="nl-NL"/>
        </w:rPr>
        <w:t xml:space="preserve"> en kosten) wordt </w:t>
      </w:r>
      <w:r w:rsidR="00C50773" w:rsidRPr="0024223B">
        <w:rPr>
          <w:rFonts w:ascii="Bolder" w:hAnsi="Bolder"/>
          <w:sz w:val="18"/>
          <w:szCs w:val="18"/>
          <w:lang w:val="nl-NL"/>
        </w:rPr>
        <w:t xml:space="preserve">normalerwijs </w:t>
      </w:r>
      <w:r w:rsidRPr="0024223B">
        <w:rPr>
          <w:rFonts w:ascii="Bolder" w:hAnsi="Bolder"/>
          <w:sz w:val="18"/>
          <w:szCs w:val="18"/>
          <w:lang w:val="nl-NL"/>
        </w:rPr>
        <w:t>een scheve verdeling geïntroduceerd. De risico’s met een kleine kans en een groot gevolg trekken de verdeling naar ‘rechts’ en dat betekent een positieve ‘</w:t>
      </w:r>
      <w:proofErr w:type="spellStart"/>
      <w:r w:rsidRPr="0024223B">
        <w:rPr>
          <w:rFonts w:ascii="Bolder" w:hAnsi="Bolder"/>
          <w:sz w:val="18"/>
          <w:szCs w:val="18"/>
          <w:lang w:val="nl-NL"/>
        </w:rPr>
        <w:t>skew</w:t>
      </w:r>
      <w:proofErr w:type="spellEnd"/>
      <w:r w:rsidRPr="0024223B">
        <w:rPr>
          <w:rFonts w:ascii="Bolder" w:hAnsi="Bolder"/>
          <w:sz w:val="18"/>
          <w:szCs w:val="18"/>
          <w:lang w:val="nl-NL"/>
        </w:rPr>
        <w:t>’.</w:t>
      </w:r>
    </w:p>
    <w:p w14:paraId="03F642DA" w14:textId="77777777" w:rsidR="00EA1F8F" w:rsidRPr="0024223B" w:rsidRDefault="00EA1F8F" w:rsidP="00C76459">
      <w:pPr>
        <w:spacing w:line="280" w:lineRule="exact"/>
        <w:rPr>
          <w:rFonts w:ascii="Bolder" w:hAnsi="Bolder"/>
          <w:sz w:val="18"/>
          <w:szCs w:val="18"/>
          <w:lang w:val="nl-NL"/>
        </w:rPr>
      </w:pPr>
    </w:p>
    <w:tbl>
      <w:tblPr>
        <w:tblStyle w:val="Tabelraster"/>
        <w:tblW w:w="0" w:type="auto"/>
        <w:shd w:val="pct15" w:color="auto" w:fill="auto"/>
        <w:tblLook w:val="04A0" w:firstRow="1" w:lastRow="0" w:firstColumn="1" w:lastColumn="0" w:noHBand="0" w:noVBand="1"/>
      </w:tblPr>
      <w:tblGrid>
        <w:gridCol w:w="9062"/>
      </w:tblGrid>
      <w:tr w:rsidR="00EA1F8F" w:rsidRPr="0024223B" w14:paraId="334CFB5E" w14:textId="77777777" w:rsidTr="00B52301">
        <w:tc>
          <w:tcPr>
            <w:tcW w:w="9062" w:type="dxa"/>
            <w:shd w:val="pct15" w:color="auto" w:fill="auto"/>
          </w:tcPr>
          <w:p w14:paraId="196F4890" w14:textId="0EE4B60D" w:rsidR="00EA1F8F" w:rsidRPr="0024223B" w:rsidRDefault="00EA1F8F" w:rsidP="00C76459">
            <w:pPr>
              <w:spacing w:line="280" w:lineRule="exact"/>
              <w:rPr>
                <w:rFonts w:ascii="Bolder" w:hAnsi="Bolder"/>
                <w:color w:val="00B0F0"/>
                <w:sz w:val="18"/>
                <w:szCs w:val="18"/>
                <w:lang w:val="nl-NL"/>
              </w:rPr>
            </w:pPr>
            <w:r w:rsidRPr="0024223B">
              <w:rPr>
                <w:rFonts w:ascii="Bolder" w:hAnsi="Bolder"/>
                <w:color w:val="00B0F0"/>
                <w:sz w:val="18"/>
                <w:szCs w:val="18"/>
                <w:lang w:val="nl-NL"/>
              </w:rPr>
              <w:t xml:space="preserve">Voorbeeld: Stel nu dat er sprake is van een driehoeksverdeling, waarbij de onderste waarde (L-waarde van </w:t>
            </w:r>
            <w:proofErr w:type="spellStart"/>
            <w:r w:rsidRPr="0024223B">
              <w:rPr>
                <w:rFonts w:ascii="Bolder" w:hAnsi="Bolder"/>
                <w:color w:val="00B0F0"/>
                <w:sz w:val="18"/>
                <w:szCs w:val="18"/>
                <w:lang w:val="nl-NL"/>
              </w:rPr>
              <w:t>Lower</w:t>
            </w:r>
            <w:proofErr w:type="spellEnd"/>
            <w:r w:rsidRPr="0024223B">
              <w:rPr>
                <w:rFonts w:ascii="Bolder" w:hAnsi="Bolder"/>
                <w:color w:val="00B0F0"/>
                <w:sz w:val="18"/>
                <w:szCs w:val="18"/>
                <w:lang w:val="nl-NL"/>
              </w:rPr>
              <w:t>) 80% is, de T-waarde 100% en de hoogste waarde (U-waarde van Upper) 130%. Dan is er sprake van een scheve verdeling:</w:t>
            </w:r>
          </w:p>
          <w:p w14:paraId="7728D4FB" w14:textId="5FB0A598" w:rsidR="00C50773" w:rsidRPr="0024223B" w:rsidRDefault="00C50773" w:rsidP="00C76459">
            <w:pPr>
              <w:pStyle w:val="Lijstalinea"/>
              <w:numPr>
                <w:ilvl w:val="0"/>
                <w:numId w:val="6"/>
              </w:numPr>
              <w:spacing w:line="280" w:lineRule="exact"/>
              <w:rPr>
                <w:rFonts w:ascii="Bolder" w:hAnsi="Bolder"/>
                <w:color w:val="00B0F0"/>
                <w:sz w:val="18"/>
                <w:szCs w:val="18"/>
                <w:lang w:val="nl-NL"/>
              </w:rPr>
            </w:pPr>
            <w:r w:rsidRPr="0024223B">
              <w:rPr>
                <w:rFonts w:ascii="Bolder" w:hAnsi="Bolder"/>
                <w:color w:val="00B0F0"/>
                <w:sz w:val="18"/>
                <w:szCs w:val="18"/>
                <w:lang w:val="nl-NL"/>
              </w:rPr>
              <w:t>De verwachtingswaarde (T-waarde) is 100 %</w:t>
            </w:r>
          </w:p>
          <w:p w14:paraId="4BFAED68" w14:textId="2F217FAE" w:rsidR="00C50773" w:rsidRPr="0024223B" w:rsidRDefault="00EA1F8F" w:rsidP="00C76459">
            <w:pPr>
              <w:pStyle w:val="Lijstalinea"/>
              <w:numPr>
                <w:ilvl w:val="0"/>
                <w:numId w:val="6"/>
              </w:numPr>
              <w:spacing w:line="280" w:lineRule="exact"/>
              <w:rPr>
                <w:rFonts w:ascii="Bolder" w:hAnsi="Bolder"/>
                <w:color w:val="00B0F0"/>
                <w:sz w:val="18"/>
                <w:szCs w:val="18"/>
                <w:lang w:val="nl-NL"/>
              </w:rPr>
            </w:pPr>
            <w:r w:rsidRPr="0024223B">
              <w:rPr>
                <w:rFonts w:ascii="Bolder" w:hAnsi="Bolder"/>
                <w:color w:val="00B0F0"/>
                <w:sz w:val="18"/>
                <w:szCs w:val="18"/>
                <w:lang w:val="nl-NL"/>
              </w:rPr>
              <w:t>Het gemiddelde is: 103,3%.</w:t>
            </w:r>
          </w:p>
          <w:p w14:paraId="69E9396D" w14:textId="4EF46B4F" w:rsidR="00C50773" w:rsidRPr="0024223B" w:rsidRDefault="00C50773" w:rsidP="00C76459">
            <w:pPr>
              <w:pStyle w:val="Lijstalinea"/>
              <w:numPr>
                <w:ilvl w:val="0"/>
                <w:numId w:val="6"/>
              </w:numPr>
              <w:spacing w:line="280" w:lineRule="exact"/>
              <w:rPr>
                <w:rFonts w:ascii="Bolder" w:hAnsi="Bolder"/>
                <w:color w:val="00B0F0"/>
                <w:sz w:val="18"/>
                <w:szCs w:val="18"/>
                <w:lang w:val="nl-NL"/>
              </w:rPr>
            </w:pPr>
            <w:r w:rsidRPr="0024223B">
              <w:rPr>
                <w:rFonts w:ascii="Bolder" w:hAnsi="Bolder"/>
                <w:color w:val="00B0F0"/>
                <w:sz w:val="18"/>
                <w:szCs w:val="18"/>
                <w:lang w:val="nl-NL"/>
              </w:rPr>
              <w:t>De P50 is: 102,6 %</w:t>
            </w:r>
          </w:p>
        </w:tc>
      </w:tr>
    </w:tbl>
    <w:p w14:paraId="2B5406CA" w14:textId="77777777" w:rsidR="00EA1F8F" w:rsidRPr="0024223B" w:rsidRDefault="00EA1F8F" w:rsidP="00C76459">
      <w:pPr>
        <w:spacing w:line="280" w:lineRule="exact"/>
        <w:rPr>
          <w:rFonts w:ascii="Bolder" w:hAnsi="Bolder"/>
          <w:sz w:val="18"/>
          <w:szCs w:val="18"/>
          <w:lang w:val="nl-NL"/>
        </w:rPr>
      </w:pPr>
    </w:p>
    <w:p w14:paraId="51952B5A" w14:textId="1B9C4352" w:rsidR="00EA1F8F" w:rsidRPr="0024223B" w:rsidRDefault="00EA1F8F" w:rsidP="00C76459">
      <w:pPr>
        <w:spacing w:line="280" w:lineRule="exact"/>
        <w:rPr>
          <w:rFonts w:ascii="Bolder" w:hAnsi="Bolder"/>
          <w:sz w:val="18"/>
          <w:szCs w:val="18"/>
          <w:lang w:val="nl-NL"/>
        </w:rPr>
      </w:pPr>
      <w:r w:rsidRPr="0024223B">
        <w:rPr>
          <w:rFonts w:ascii="Bolder" w:hAnsi="Bolder"/>
          <w:sz w:val="18"/>
          <w:szCs w:val="18"/>
          <w:lang w:val="nl-NL"/>
        </w:rPr>
        <w:t xml:space="preserve">Voornoemde waarden liggen nog vrij dicht bij de T-waarde. Het effect van de scheve verdeling is dan nog beperkt. We nemen dan </w:t>
      </w:r>
      <w:r w:rsidR="00D653C1">
        <w:rPr>
          <w:rFonts w:ascii="Bolder" w:hAnsi="Bolder"/>
          <w:sz w:val="18"/>
          <w:szCs w:val="18"/>
          <w:lang w:val="nl-NL"/>
        </w:rPr>
        <w:t xml:space="preserve">veelal </w:t>
      </w:r>
      <w:r w:rsidRPr="0024223B">
        <w:rPr>
          <w:rFonts w:ascii="Bolder" w:hAnsi="Bolder"/>
          <w:sz w:val="18"/>
          <w:szCs w:val="18"/>
          <w:lang w:val="nl-NL"/>
        </w:rPr>
        <w:t>de gemiddelde waarde mee in de budgetaanvraag. Dat is dan net even anders dan de P50, al is het verschil beperkt.</w:t>
      </w:r>
    </w:p>
    <w:p w14:paraId="20B80EE8" w14:textId="33F70639" w:rsidR="00906E39" w:rsidRPr="0024223B" w:rsidRDefault="00906E39" w:rsidP="00C76459">
      <w:pPr>
        <w:overflowPunct/>
        <w:autoSpaceDE/>
        <w:autoSpaceDN/>
        <w:adjustRightInd/>
        <w:spacing w:line="280" w:lineRule="exact"/>
        <w:textAlignment w:val="auto"/>
        <w:rPr>
          <w:rFonts w:ascii="Bolder" w:hAnsi="Bolder"/>
          <w:sz w:val="18"/>
          <w:szCs w:val="18"/>
          <w:lang w:val="nl-NL"/>
        </w:rPr>
      </w:pPr>
    </w:p>
    <w:p w14:paraId="331F6C83" w14:textId="77777777" w:rsidR="00D653C1" w:rsidRDefault="00D653C1">
      <w:pPr>
        <w:overflowPunct/>
        <w:autoSpaceDE/>
        <w:autoSpaceDN/>
        <w:adjustRightInd/>
        <w:spacing w:line="260" w:lineRule="exact"/>
        <w:textAlignment w:val="auto"/>
        <w:rPr>
          <w:rFonts w:ascii="Bolder" w:hAnsi="Bolder"/>
          <w:sz w:val="18"/>
          <w:szCs w:val="18"/>
          <w:lang w:val="nl-NL"/>
        </w:rPr>
      </w:pPr>
      <w:r>
        <w:rPr>
          <w:rFonts w:ascii="Bolder" w:hAnsi="Bolder"/>
          <w:sz w:val="18"/>
          <w:szCs w:val="18"/>
          <w:lang w:val="nl-NL"/>
        </w:rPr>
        <w:br w:type="page"/>
      </w:r>
    </w:p>
    <w:p w14:paraId="56E639B3" w14:textId="667D05F5" w:rsidR="00D653C1" w:rsidRPr="00D653C1" w:rsidRDefault="00D653C1" w:rsidP="00C76459">
      <w:pPr>
        <w:overflowPunct/>
        <w:autoSpaceDE/>
        <w:autoSpaceDN/>
        <w:adjustRightInd/>
        <w:spacing w:line="280" w:lineRule="exact"/>
        <w:textAlignment w:val="auto"/>
        <w:rPr>
          <w:rFonts w:ascii="Bolder" w:hAnsi="Bolder"/>
          <w:b/>
          <w:bCs/>
          <w:sz w:val="18"/>
          <w:szCs w:val="18"/>
          <w:lang w:val="nl-NL"/>
        </w:rPr>
      </w:pPr>
      <w:r w:rsidRPr="00D653C1">
        <w:rPr>
          <w:rFonts w:ascii="Bolder" w:hAnsi="Bolder"/>
          <w:b/>
          <w:bCs/>
          <w:sz w:val="18"/>
          <w:szCs w:val="18"/>
          <w:lang w:val="nl-NL"/>
        </w:rPr>
        <w:lastRenderedPageBreak/>
        <w:t>3. Startvragen om met elkaar in</w:t>
      </w:r>
      <w:r>
        <w:rPr>
          <w:rFonts w:ascii="Bolder" w:hAnsi="Bolder"/>
          <w:b/>
          <w:bCs/>
          <w:sz w:val="18"/>
          <w:szCs w:val="18"/>
          <w:lang w:val="nl-NL"/>
        </w:rPr>
        <w:t xml:space="preserve"> </w:t>
      </w:r>
      <w:r w:rsidRPr="00D653C1">
        <w:rPr>
          <w:rFonts w:ascii="Bolder" w:hAnsi="Bolder"/>
          <w:b/>
          <w:bCs/>
          <w:sz w:val="18"/>
          <w:szCs w:val="18"/>
          <w:lang w:val="nl-NL"/>
        </w:rPr>
        <w:t>gesprek te komen</w:t>
      </w:r>
    </w:p>
    <w:p w14:paraId="26B68F40" w14:textId="58E6344F" w:rsidR="00E278A4" w:rsidRPr="0024223B" w:rsidRDefault="00E278A4" w:rsidP="00C76459">
      <w:pPr>
        <w:overflowPunct/>
        <w:autoSpaceDE/>
        <w:autoSpaceDN/>
        <w:adjustRightInd/>
        <w:spacing w:line="280" w:lineRule="exact"/>
        <w:textAlignment w:val="auto"/>
        <w:rPr>
          <w:rFonts w:ascii="Bolder" w:hAnsi="Bolder"/>
          <w:sz w:val="18"/>
          <w:szCs w:val="18"/>
          <w:lang w:val="nl-NL"/>
        </w:rPr>
      </w:pPr>
      <w:r w:rsidRPr="0024223B">
        <w:rPr>
          <w:rFonts w:ascii="Bolder" w:hAnsi="Bolder"/>
          <w:sz w:val="18"/>
          <w:szCs w:val="18"/>
          <w:lang w:val="nl-NL"/>
        </w:rPr>
        <w:t>Vragen waaromheen we e</w:t>
      </w:r>
      <w:r w:rsidR="00E92BB1">
        <w:rPr>
          <w:rFonts w:ascii="Bolder" w:hAnsi="Bolder"/>
          <w:sz w:val="18"/>
          <w:szCs w:val="18"/>
          <w:lang w:val="nl-NL"/>
        </w:rPr>
        <w:t>e</w:t>
      </w:r>
      <w:r w:rsidRPr="0024223B">
        <w:rPr>
          <w:rFonts w:ascii="Bolder" w:hAnsi="Bolder"/>
          <w:sz w:val="18"/>
          <w:szCs w:val="18"/>
          <w:lang w:val="nl-NL"/>
        </w:rPr>
        <w:t>n gesprek zouden kunnen aangaan:</w:t>
      </w:r>
    </w:p>
    <w:p w14:paraId="04435B00" w14:textId="058F38F7" w:rsidR="00152BE6" w:rsidRPr="0024223B" w:rsidRDefault="00152BE6" w:rsidP="00E278A4">
      <w:pPr>
        <w:pStyle w:val="Lijstalinea"/>
        <w:numPr>
          <w:ilvl w:val="0"/>
          <w:numId w:val="7"/>
        </w:numPr>
        <w:overflowPunct/>
        <w:autoSpaceDE/>
        <w:autoSpaceDN/>
        <w:adjustRightInd/>
        <w:spacing w:line="280" w:lineRule="exact"/>
        <w:textAlignment w:val="auto"/>
        <w:rPr>
          <w:rFonts w:ascii="Bolder" w:hAnsi="Bolder"/>
          <w:sz w:val="18"/>
          <w:szCs w:val="18"/>
          <w:lang w:val="nl-NL"/>
        </w:rPr>
      </w:pPr>
      <w:proofErr w:type="spellStart"/>
      <w:r w:rsidRPr="0024223B">
        <w:rPr>
          <w:rFonts w:ascii="Bolder" w:hAnsi="Bolder"/>
          <w:sz w:val="18"/>
          <w:szCs w:val="18"/>
          <w:lang w:val="nl-NL"/>
        </w:rPr>
        <w:t>Kosteninschatingen</w:t>
      </w:r>
      <w:proofErr w:type="spellEnd"/>
      <w:r w:rsidRPr="0024223B">
        <w:rPr>
          <w:rFonts w:ascii="Bolder" w:hAnsi="Bolder"/>
          <w:sz w:val="18"/>
          <w:szCs w:val="18"/>
          <w:lang w:val="nl-NL"/>
        </w:rPr>
        <w:t xml:space="preserve"> in een vroeg stadium </w:t>
      </w:r>
      <w:r w:rsidR="00D653C1">
        <w:rPr>
          <w:rFonts w:ascii="Bolder" w:hAnsi="Bolder"/>
          <w:sz w:val="18"/>
          <w:szCs w:val="18"/>
          <w:lang w:val="nl-NL"/>
        </w:rPr>
        <w:t xml:space="preserve">van een project </w:t>
      </w:r>
      <w:r w:rsidRPr="0024223B">
        <w:rPr>
          <w:rFonts w:ascii="Bolder" w:hAnsi="Bolder"/>
          <w:sz w:val="18"/>
          <w:szCs w:val="18"/>
          <w:lang w:val="nl-NL"/>
        </w:rPr>
        <w:t>zijn geen budgetramingen, hoe voorkomen we dat di</w:t>
      </w:r>
      <w:r w:rsidR="002D4B40">
        <w:rPr>
          <w:rFonts w:ascii="Bolder" w:hAnsi="Bolder"/>
          <w:sz w:val="18"/>
          <w:szCs w:val="18"/>
          <w:lang w:val="nl-NL"/>
        </w:rPr>
        <w:t>e eerste inschatting ‘</w:t>
      </w:r>
      <w:r w:rsidRPr="0024223B">
        <w:rPr>
          <w:rFonts w:ascii="Bolder" w:hAnsi="Bolder"/>
          <w:sz w:val="18"/>
          <w:szCs w:val="18"/>
          <w:lang w:val="nl-NL"/>
        </w:rPr>
        <w:t>de waarheid</w:t>
      </w:r>
      <w:r w:rsidR="002D4B40">
        <w:rPr>
          <w:rFonts w:ascii="Bolder" w:hAnsi="Bolder"/>
          <w:sz w:val="18"/>
          <w:szCs w:val="18"/>
          <w:lang w:val="nl-NL"/>
        </w:rPr>
        <w:t>’</w:t>
      </w:r>
      <w:r w:rsidRPr="0024223B">
        <w:rPr>
          <w:rFonts w:ascii="Bolder" w:hAnsi="Bolder"/>
          <w:sz w:val="18"/>
          <w:szCs w:val="18"/>
          <w:lang w:val="nl-NL"/>
        </w:rPr>
        <w:t xml:space="preserve"> wo</w:t>
      </w:r>
      <w:r w:rsidR="0038623B" w:rsidRPr="0024223B">
        <w:rPr>
          <w:rFonts w:ascii="Bolder" w:hAnsi="Bolder"/>
          <w:sz w:val="18"/>
          <w:szCs w:val="18"/>
          <w:lang w:val="nl-NL"/>
        </w:rPr>
        <w:t>r</w:t>
      </w:r>
      <w:r w:rsidRPr="0024223B">
        <w:rPr>
          <w:rFonts w:ascii="Bolder" w:hAnsi="Bolder"/>
          <w:sz w:val="18"/>
          <w:szCs w:val="18"/>
          <w:lang w:val="nl-NL"/>
        </w:rPr>
        <w:t>dt?</w:t>
      </w:r>
    </w:p>
    <w:p w14:paraId="5FA5090D" w14:textId="5F0795F9" w:rsidR="00E278A4" w:rsidRPr="0024223B" w:rsidRDefault="00E278A4" w:rsidP="00E278A4">
      <w:pPr>
        <w:pStyle w:val="Lijstalinea"/>
        <w:numPr>
          <w:ilvl w:val="0"/>
          <w:numId w:val="7"/>
        </w:numPr>
        <w:overflowPunct/>
        <w:autoSpaceDE/>
        <w:autoSpaceDN/>
        <w:adjustRightInd/>
        <w:spacing w:line="280" w:lineRule="exact"/>
        <w:textAlignment w:val="auto"/>
        <w:rPr>
          <w:rFonts w:ascii="Bolder" w:hAnsi="Bolder"/>
          <w:sz w:val="18"/>
          <w:szCs w:val="18"/>
          <w:lang w:val="nl-NL"/>
        </w:rPr>
      </w:pPr>
      <w:r w:rsidRPr="0024223B">
        <w:rPr>
          <w:rFonts w:ascii="Bolder" w:hAnsi="Bolder"/>
          <w:sz w:val="18"/>
          <w:szCs w:val="18"/>
          <w:lang w:val="nl-NL"/>
        </w:rPr>
        <w:t xml:space="preserve">Hoe rapporteren we het eindresultaat van een raming? </w:t>
      </w:r>
      <w:r w:rsidR="00D653C1">
        <w:rPr>
          <w:rFonts w:ascii="Bolder" w:hAnsi="Bolder"/>
          <w:sz w:val="18"/>
          <w:szCs w:val="18"/>
          <w:lang w:val="nl-NL"/>
        </w:rPr>
        <w:t>Hoe is vo</w:t>
      </w:r>
      <w:r w:rsidRPr="0024223B">
        <w:rPr>
          <w:rFonts w:ascii="Bolder" w:hAnsi="Bolder"/>
          <w:sz w:val="18"/>
          <w:szCs w:val="18"/>
          <w:lang w:val="nl-NL"/>
        </w:rPr>
        <w:t xml:space="preserve">or de ontvanger </w:t>
      </w:r>
      <w:r w:rsidR="0038623B" w:rsidRPr="0024223B">
        <w:rPr>
          <w:rFonts w:ascii="Bolder" w:hAnsi="Bolder"/>
          <w:sz w:val="18"/>
          <w:szCs w:val="18"/>
          <w:lang w:val="nl-NL"/>
        </w:rPr>
        <w:t>duidelijk</w:t>
      </w:r>
      <w:r w:rsidRPr="0024223B">
        <w:rPr>
          <w:rFonts w:ascii="Bolder" w:hAnsi="Bolder"/>
          <w:sz w:val="18"/>
          <w:szCs w:val="18"/>
          <w:lang w:val="nl-NL"/>
        </w:rPr>
        <w:t xml:space="preserve"> wat de waarde is van de raming</w:t>
      </w:r>
      <w:r w:rsidR="00D653C1">
        <w:rPr>
          <w:rFonts w:ascii="Bolder" w:hAnsi="Bolder"/>
          <w:sz w:val="18"/>
          <w:szCs w:val="18"/>
          <w:lang w:val="nl-NL"/>
        </w:rPr>
        <w:t>?</w:t>
      </w:r>
    </w:p>
    <w:p w14:paraId="380B1223" w14:textId="582396E3" w:rsidR="00E278A4" w:rsidRPr="0024223B" w:rsidRDefault="00E278A4" w:rsidP="00E278A4">
      <w:pPr>
        <w:pStyle w:val="Lijstalinea"/>
        <w:numPr>
          <w:ilvl w:val="0"/>
          <w:numId w:val="7"/>
        </w:numPr>
        <w:overflowPunct/>
        <w:autoSpaceDE/>
        <w:autoSpaceDN/>
        <w:adjustRightInd/>
        <w:spacing w:line="280" w:lineRule="exact"/>
        <w:textAlignment w:val="auto"/>
        <w:rPr>
          <w:rFonts w:ascii="Bolder" w:hAnsi="Bolder"/>
          <w:sz w:val="18"/>
          <w:szCs w:val="18"/>
          <w:lang w:val="nl-NL"/>
        </w:rPr>
      </w:pPr>
      <w:r w:rsidRPr="0024223B">
        <w:rPr>
          <w:rFonts w:ascii="Bolder" w:hAnsi="Bolder"/>
          <w:sz w:val="18"/>
          <w:szCs w:val="18"/>
          <w:lang w:val="nl-NL"/>
        </w:rPr>
        <w:t>Durven we ramingen die (deels) opportunistisch zijn of incompleet terzijde te leggen? Zij nemen een voorschot op de financiële cohesie van de begroting en maken zich mooier dan de andere projecten.</w:t>
      </w:r>
    </w:p>
    <w:p w14:paraId="0B7FE36B" w14:textId="01C214B8" w:rsidR="00E278A4" w:rsidRPr="0024223B" w:rsidRDefault="0038623B" w:rsidP="00E278A4">
      <w:pPr>
        <w:pStyle w:val="Lijstalinea"/>
        <w:numPr>
          <w:ilvl w:val="0"/>
          <w:numId w:val="7"/>
        </w:numPr>
        <w:overflowPunct/>
        <w:autoSpaceDE/>
        <w:autoSpaceDN/>
        <w:adjustRightInd/>
        <w:spacing w:line="280" w:lineRule="exact"/>
        <w:textAlignment w:val="auto"/>
        <w:rPr>
          <w:rFonts w:ascii="Bolder" w:hAnsi="Bolder"/>
          <w:sz w:val="18"/>
          <w:szCs w:val="18"/>
          <w:lang w:val="nl-NL"/>
        </w:rPr>
      </w:pPr>
      <w:r w:rsidRPr="0024223B">
        <w:rPr>
          <w:rFonts w:ascii="Bolder" w:hAnsi="Bolder"/>
          <w:sz w:val="18"/>
          <w:szCs w:val="18"/>
          <w:lang w:val="nl-NL"/>
        </w:rPr>
        <w:t>Wanneer wordt er voor projecten gekozen voor een P85?</w:t>
      </w:r>
    </w:p>
    <w:sectPr w:rsidR="00E278A4" w:rsidRPr="0024223B" w:rsidSect="007713C7">
      <w:headerReference w:type="default" r:id="rId10"/>
      <w:footerReference w:type="default" r:id="rId11"/>
      <w:pgSz w:w="11906" w:h="16838"/>
      <w:pgMar w:top="1418" w:right="1417" w:bottom="1134" w:left="141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8C276" w14:textId="77777777" w:rsidR="00C82EFB" w:rsidRDefault="00C82EFB" w:rsidP="00C34BA8">
      <w:pPr>
        <w:spacing w:line="240" w:lineRule="auto"/>
      </w:pPr>
      <w:r>
        <w:separator/>
      </w:r>
    </w:p>
  </w:endnote>
  <w:endnote w:type="continuationSeparator" w:id="0">
    <w:p w14:paraId="0BF1E273" w14:textId="77777777" w:rsidR="00C82EFB" w:rsidRDefault="00C82EFB" w:rsidP="00C34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lder">
    <w:panose1 w:val="00000500000000000000"/>
    <w:charset w:val="00"/>
    <w:family w:val="auto"/>
    <w:pitch w:val="variable"/>
    <w:sig w:usb0="00000007" w:usb1="00000001" w:usb2="00000000" w:usb3="00000000" w:csb0="00000093" w:csb1="00000000"/>
    <w:embedRegular r:id="rId1" w:fontKey="{CDD78987-8F88-4BAC-81EA-C15DF19C6507}"/>
    <w:embedBold r:id="rId2" w:fontKey="{B6E487DF-8538-4EC8-B085-582BF31BBAE7}"/>
    <w:embedItalic r:id="rId3" w:fontKey="{2940EF22-36BE-4AFE-8D2F-C087242EB9FC}"/>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107" w:type="dxa"/>
      <w:tblInd w:w="-8" w:type="dxa"/>
      <w:tblLayout w:type="fixed"/>
      <w:tblCellMar>
        <w:left w:w="0" w:type="dxa"/>
        <w:right w:w="0" w:type="dxa"/>
      </w:tblCellMar>
      <w:tblLook w:val="0000" w:firstRow="0" w:lastRow="0" w:firstColumn="0" w:lastColumn="0" w:noHBand="0" w:noVBand="0"/>
    </w:tblPr>
    <w:tblGrid>
      <w:gridCol w:w="5537"/>
      <w:gridCol w:w="1492"/>
      <w:gridCol w:w="227"/>
      <w:gridCol w:w="851"/>
    </w:tblGrid>
    <w:tr w:rsidR="00C13EBA" w14:paraId="29606C17" w14:textId="77777777" w:rsidTr="0055463E">
      <w:trPr>
        <w:cantSplit/>
        <w:trHeight w:hRule="exact" w:val="250"/>
      </w:trPr>
      <w:tc>
        <w:tcPr>
          <w:tcW w:w="5537" w:type="dxa"/>
        </w:tcPr>
        <w:p w14:paraId="7FB92FE9" w14:textId="77777777" w:rsidR="00C13EBA" w:rsidRDefault="00C13EBA" w:rsidP="0055463E">
          <w:pPr>
            <w:pStyle w:val="GemVoettekstVet"/>
            <w:widowControl/>
            <w:spacing w:line="240" w:lineRule="exact"/>
          </w:pPr>
          <w:r>
            <w:t>Documentnaam</w:t>
          </w:r>
        </w:p>
      </w:tc>
      <w:tc>
        <w:tcPr>
          <w:tcW w:w="1492" w:type="dxa"/>
        </w:tcPr>
        <w:p w14:paraId="6C7068A5" w14:textId="77777777" w:rsidR="00C13EBA" w:rsidRDefault="00C13EBA" w:rsidP="0055463E">
          <w:pPr>
            <w:pStyle w:val="GemVoettekstVet"/>
            <w:widowControl/>
            <w:spacing w:line="240" w:lineRule="exact"/>
          </w:pPr>
          <w:r>
            <w:t>Datum</w:t>
          </w:r>
        </w:p>
      </w:tc>
      <w:tc>
        <w:tcPr>
          <w:tcW w:w="227" w:type="dxa"/>
        </w:tcPr>
        <w:p w14:paraId="2F6B812C" w14:textId="77777777" w:rsidR="00C13EBA" w:rsidRDefault="00C13EBA" w:rsidP="0055463E">
          <w:pPr>
            <w:pStyle w:val="GemVoettekstVet"/>
            <w:widowControl/>
            <w:spacing w:line="240" w:lineRule="exact"/>
          </w:pPr>
        </w:p>
      </w:tc>
      <w:tc>
        <w:tcPr>
          <w:tcW w:w="851" w:type="dxa"/>
        </w:tcPr>
        <w:p w14:paraId="4A4738F2" w14:textId="77777777" w:rsidR="00C13EBA" w:rsidRDefault="00C13EBA" w:rsidP="0055463E">
          <w:pPr>
            <w:pStyle w:val="GemVoettekstVet"/>
            <w:widowControl/>
            <w:spacing w:line="240" w:lineRule="exact"/>
            <w:rPr>
              <w:b w:val="0"/>
            </w:rPr>
          </w:pPr>
          <w:r>
            <w:t>Pagina</w:t>
          </w:r>
          <w:r>
            <w:rPr>
              <w:b w:val="0"/>
            </w:rPr>
            <w:t xml:space="preserve"> </w:t>
          </w:r>
        </w:p>
      </w:tc>
    </w:tr>
    <w:tr w:rsidR="00C13EBA" w14:paraId="565715F0" w14:textId="77777777" w:rsidTr="0055463E">
      <w:trPr>
        <w:cantSplit/>
        <w:trHeight w:hRule="exact" w:val="287"/>
      </w:trPr>
      <w:tc>
        <w:tcPr>
          <w:tcW w:w="5537" w:type="dxa"/>
        </w:tcPr>
        <w:p w14:paraId="731F6F77" w14:textId="37C9855E" w:rsidR="00C13EBA" w:rsidRDefault="00C50773" w:rsidP="0055463E">
          <w:pPr>
            <w:pStyle w:val="GemVoettekst"/>
          </w:pPr>
          <w:r>
            <w:t>Het eindresultaat van de raming</w:t>
          </w:r>
        </w:p>
      </w:tc>
      <w:tc>
        <w:tcPr>
          <w:tcW w:w="1492" w:type="dxa"/>
        </w:tcPr>
        <w:p w14:paraId="110891AB" w14:textId="2F6864C1" w:rsidR="00C13EBA" w:rsidRDefault="0024223B" w:rsidP="0055463E">
          <w:pPr>
            <w:pStyle w:val="GemVoettekst"/>
          </w:pPr>
          <w:r>
            <w:t>1</w:t>
          </w:r>
          <w:r w:rsidR="003D23B0">
            <w:t>6</w:t>
          </w:r>
          <w:r>
            <w:t xml:space="preserve"> mei</w:t>
          </w:r>
          <w:r w:rsidR="00135D53">
            <w:t xml:space="preserve"> </w:t>
          </w:r>
          <w:r w:rsidR="00C13EBA">
            <w:t>2022</w:t>
          </w:r>
        </w:p>
      </w:tc>
      <w:tc>
        <w:tcPr>
          <w:tcW w:w="227" w:type="dxa"/>
        </w:tcPr>
        <w:p w14:paraId="10C8FDE7" w14:textId="77777777" w:rsidR="00C13EBA" w:rsidRDefault="00C13EBA" w:rsidP="0055463E">
          <w:pPr>
            <w:pStyle w:val="GemVoettekst"/>
          </w:pPr>
        </w:p>
      </w:tc>
      <w:tc>
        <w:tcPr>
          <w:tcW w:w="851" w:type="dxa"/>
        </w:tcPr>
        <w:p w14:paraId="09C143EA" w14:textId="77777777" w:rsidR="00C13EBA" w:rsidRDefault="00C13EBA" w:rsidP="0055463E">
          <w:pPr>
            <w:pStyle w:val="GemVoettekst"/>
          </w:pPr>
          <w:r>
            <w:fldChar w:fldCharType="begin"/>
          </w:r>
          <w:r>
            <w:instrText xml:space="preserve">PAGE  \* MERGEFORMAT </w:instrText>
          </w:r>
          <w:r>
            <w:fldChar w:fldCharType="separate"/>
          </w:r>
          <w:r>
            <w:rPr>
              <w:noProof/>
            </w:rPr>
            <w:t>20</w:t>
          </w:r>
          <w:r>
            <w:fldChar w:fldCharType="end"/>
          </w:r>
          <w:r>
            <w:t xml:space="preserve"> van </w:t>
          </w:r>
          <w:fldSimple w:instr="NUMPAGES  \* MERGEFORMAT ">
            <w:r>
              <w:rPr>
                <w:noProof/>
              </w:rPr>
              <w:t>20</w:t>
            </w:r>
          </w:fldSimple>
        </w:p>
      </w:tc>
    </w:tr>
  </w:tbl>
  <w:p w14:paraId="01BFFB76" w14:textId="1ED8D6E7" w:rsidR="00C13EBA" w:rsidRPr="0055463E" w:rsidRDefault="00C13EBA" w:rsidP="0055463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F7B6B" w14:textId="77777777" w:rsidR="00C82EFB" w:rsidRDefault="00C82EFB" w:rsidP="00C34BA8">
      <w:pPr>
        <w:spacing w:line="240" w:lineRule="auto"/>
      </w:pPr>
      <w:r>
        <w:separator/>
      </w:r>
    </w:p>
  </w:footnote>
  <w:footnote w:type="continuationSeparator" w:id="0">
    <w:p w14:paraId="5D256EB0" w14:textId="77777777" w:rsidR="00C82EFB" w:rsidRDefault="00C82EFB" w:rsidP="00C34B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31034" w14:textId="27D3CBF6" w:rsidR="00C76459" w:rsidRPr="00C76459" w:rsidRDefault="0024223B" w:rsidP="00C76459">
    <w:pPr>
      <w:rPr>
        <w:rFonts w:ascii="Bolder" w:hAnsi="Bolder"/>
        <w:sz w:val="18"/>
        <w:szCs w:val="18"/>
      </w:rPr>
    </w:pPr>
    <w:r>
      <w:rPr>
        <w:noProof/>
        <w:color w:val="1F497D"/>
        <w:lang w:eastAsia="nl-NL"/>
      </w:rPr>
      <w:tab/>
    </w:r>
    <w:r>
      <w:rPr>
        <w:noProof/>
        <w:color w:val="1F497D"/>
        <w:lang w:eastAsia="nl-NL"/>
      </w:rPr>
      <w:tab/>
    </w:r>
    <w:r>
      <w:rPr>
        <w:noProof/>
        <w:color w:val="1F497D"/>
        <w:lang w:eastAsia="nl-NL"/>
      </w:rPr>
      <w:tab/>
    </w:r>
    <w:r>
      <w:rPr>
        <w:noProof/>
        <w:color w:val="1F497D"/>
        <w:lang w:eastAsia="nl-NL"/>
      </w:rPr>
      <w:tab/>
    </w:r>
    <w:r w:rsidR="00C76459">
      <w:rPr>
        <w:noProof/>
        <w:color w:val="1F497D"/>
        <w:lang w:eastAsia="nl-NL"/>
      </w:rPr>
      <w:tab/>
    </w:r>
    <w:r w:rsidR="00C76459">
      <w:rPr>
        <w:noProof/>
        <w:color w:val="1F497D"/>
        <w:lang w:eastAsia="nl-NL"/>
      </w:rPr>
      <w:tab/>
    </w:r>
    <w:r w:rsidR="00C76459">
      <w:rPr>
        <w:noProof/>
        <w:color w:val="1F497D"/>
        <w:lang w:eastAsia="nl-NL"/>
      </w:rPr>
      <w:drawing>
        <wp:inline distT="0" distB="0" distL="0" distR="0" wp14:anchorId="51FB991B" wp14:editId="3C2D91E0">
          <wp:extent cx="2880000" cy="533651"/>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80000" cy="533651"/>
                  </a:xfrm>
                  <a:prstGeom prst="rect">
                    <a:avLst/>
                  </a:prstGeom>
                  <a:noFill/>
                  <a:ln>
                    <a:noFill/>
                  </a:ln>
                </pic:spPr>
              </pic:pic>
            </a:graphicData>
          </a:graphic>
        </wp:inline>
      </w:drawing>
    </w:r>
  </w:p>
  <w:p w14:paraId="439FFF00" w14:textId="73723892" w:rsidR="00C13EBA" w:rsidRPr="0055463E" w:rsidRDefault="00C13EBA" w:rsidP="00880722">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77567"/>
    <w:multiLevelType w:val="hybridMultilevel"/>
    <w:tmpl w:val="8212579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B70598E"/>
    <w:multiLevelType w:val="hybridMultilevel"/>
    <w:tmpl w:val="93826D3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9805D67"/>
    <w:multiLevelType w:val="hybridMultilevel"/>
    <w:tmpl w:val="0DFAB23A"/>
    <w:lvl w:ilvl="0" w:tplc="FA40197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D1764C"/>
    <w:multiLevelType w:val="hybridMultilevel"/>
    <w:tmpl w:val="E25803F8"/>
    <w:lvl w:ilvl="0" w:tplc="EF701B5C">
      <w:numFmt w:val="bullet"/>
      <w:lvlText w:val="-"/>
      <w:lvlJc w:val="left"/>
      <w:pPr>
        <w:ind w:left="360" w:hanging="360"/>
      </w:pPr>
      <w:rPr>
        <w:rFonts w:ascii="Bolder" w:eastAsia="Times New Roman" w:hAnsi="Bolder"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E637BB1"/>
    <w:multiLevelType w:val="hybridMultilevel"/>
    <w:tmpl w:val="F99A10D6"/>
    <w:lvl w:ilvl="0" w:tplc="FA40197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1E92027"/>
    <w:multiLevelType w:val="hybridMultilevel"/>
    <w:tmpl w:val="84AC1D80"/>
    <w:lvl w:ilvl="0" w:tplc="FA40197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EF012E3"/>
    <w:multiLevelType w:val="hybridMultilevel"/>
    <w:tmpl w:val="8B3C0002"/>
    <w:lvl w:ilvl="0" w:tplc="FA40197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TrueTypeFonts/>
  <w:saveSubsetFonts/>
  <w:proofState w:spelling="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CA"/>
    <w:rsid w:val="00060599"/>
    <w:rsid w:val="00090AFA"/>
    <w:rsid w:val="000A59F8"/>
    <w:rsid w:val="000F732C"/>
    <w:rsid w:val="00135D53"/>
    <w:rsid w:val="00152BE6"/>
    <w:rsid w:val="00167729"/>
    <w:rsid w:val="001879CA"/>
    <w:rsid w:val="001A58E1"/>
    <w:rsid w:val="001C02B5"/>
    <w:rsid w:val="001E0968"/>
    <w:rsid w:val="001E6A65"/>
    <w:rsid w:val="00201ED0"/>
    <w:rsid w:val="0023258A"/>
    <w:rsid w:val="0024223B"/>
    <w:rsid w:val="00252E99"/>
    <w:rsid w:val="002878C8"/>
    <w:rsid w:val="002D4B40"/>
    <w:rsid w:val="0032281B"/>
    <w:rsid w:val="00322EAE"/>
    <w:rsid w:val="0038623B"/>
    <w:rsid w:val="003C313E"/>
    <w:rsid w:val="003D23B0"/>
    <w:rsid w:val="004B202D"/>
    <w:rsid w:val="004E0944"/>
    <w:rsid w:val="0051007C"/>
    <w:rsid w:val="005177FB"/>
    <w:rsid w:val="0053732A"/>
    <w:rsid w:val="0055463E"/>
    <w:rsid w:val="00575575"/>
    <w:rsid w:val="0058682D"/>
    <w:rsid w:val="005A2B2A"/>
    <w:rsid w:val="006666A5"/>
    <w:rsid w:val="006706F5"/>
    <w:rsid w:val="006B1BC3"/>
    <w:rsid w:val="007713C7"/>
    <w:rsid w:val="0079502A"/>
    <w:rsid w:val="007A4D66"/>
    <w:rsid w:val="00800E62"/>
    <w:rsid w:val="00805EE4"/>
    <w:rsid w:val="00875E96"/>
    <w:rsid w:val="00880722"/>
    <w:rsid w:val="008B1A2E"/>
    <w:rsid w:val="00906E39"/>
    <w:rsid w:val="00925BC0"/>
    <w:rsid w:val="00997B63"/>
    <w:rsid w:val="00A847B3"/>
    <w:rsid w:val="00A91D27"/>
    <w:rsid w:val="00AF62A2"/>
    <w:rsid w:val="00B007B0"/>
    <w:rsid w:val="00B279C9"/>
    <w:rsid w:val="00B31E82"/>
    <w:rsid w:val="00B424A4"/>
    <w:rsid w:val="00B57055"/>
    <w:rsid w:val="00B7388D"/>
    <w:rsid w:val="00B80D0B"/>
    <w:rsid w:val="00B92158"/>
    <w:rsid w:val="00BF07C9"/>
    <w:rsid w:val="00C07B39"/>
    <w:rsid w:val="00C13EBA"/>
    <w:rsid w:val="00C34BA8"/>
    <w:rsid w:val="00C4538A"/>
    <w:rsid w:val="00C50773"/>
    <w:rsid w:val="00C5632A"/>
    <w:rsid w:val="00C76459"/>
    <w:rsid w:val="00C82EFB"/>
    <w:rsid w:val="00CA5550"/>
    <w:rsid w:val="00CE06E1"/>
    <w:rsid w:val="00CE5EAF"/>
    <w:rsid w:val="00CF4651"/>
    <w:rsid w:val="00D41E0A"/>
    <w:rsid w:val="00D458EF"/>
    <w:rsid w:val="00D50397"/>
    <w:rsid w:val="00D653C1"/>
    <w:rsid w:val="00D852F9"/>
    <w:rsid w:val="00D930EA"/>
    <w:rsid w:val="00DD7F43"/>
    <w:rsid w:val="00DF206A"/>
    <w:rsid w:val="00E278A4"/>
    <w:rsid w:val="00E470C3"/>
    <w:rsid w:val="00E7095C"/>
    <w:rsid w:val="00E74549"/>
    <w:rsid w:val="00E92BB1"/>
    <w:rsid w:val="00E93D4C"/>
    <w:rsid w:val="00EA1F8F"/>
    <w:rsid w:val="00EB4940"/>
    <w:rsid w:val="00EC0C4A"/>
    <w:rsid w:val="00FA03AF"/>
    <w:rsid w:val="00FA634F"/>
    <w:rsid w:val="00FB708C"/>
    <w:rsid w:val="00FE72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53D359"/>
  <w15:chartTrackingRefBased/>
  <w15:docId w15:val="{F529682F-345B-4BB7-88AC-B776576C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lder" w:eastAsiaTheme="minorHAnsi" w:hAnsi="Bolder" w:cstheme="minorBidi"/>
        <w:sz w:val="22"/>
        <w:szCs w:val="22"/>
        <w:lang w:val="nl-NL"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79CA"/>
    <w:pPr>
      <w:overflowPunct w:val="0"/>
      <w:autoSpaceDE w:val="0"/>
      <w:autoSpaceDN w:val="0"/>
      <w:adjustRightInd w:val="0"/>
      <w:spacing w:line="280" w:lineRule="atLeast"/>
      <w:textAlignment w:val="baseline"/>
    </w:pPr>
    <w:rPr>
      <w:rFonts w:ascii="Arial" w:eastAsia="Times New Roman" w:hAnsi="Arial" w:cs="Times New Roman"/>
      <w:sz w:val="20"/>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F206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F206A"/>
    <w:rPr>
      <w:rFonts w:ascii="Arial" w:eastAsia="Times New Roman" w:hAnsi="Arial" w:cs="Times New Roman"/>
      <w:sz w:val="20"/>
      <w:szCs w:val="20"/>
      <w:lang w:val="nl"/>
    </w:rPr>
  </w:style>
  <w:style w:type="paragraph" w:styleId="Voettekst">
    <w:name w:val="footer"/>
    <w:basedOn w:val="Standaard"/>
    <w:link w:val="VoettekstChar"/>
    <w:uiPriority w:val="99"/>
    <w:unhideWhenUsed/>
    <w:rsid w:val="00DF206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F206A"/>
    <w:rPr>
      <w:rFonts w:ascii="Arial" w:eastAsia="Times New Roman" w:hAnsi="Arial" w:cs="Times New Roman"/>
      <w:sz w:val="20"/>
      <w:szCs w:val="20"/>
      <w:lang w:val="nl"/>
    </w:rPr>
  </w:style>
  <w:style w:type="paragraph" w:customStyle="1" w:styleId="GemTitel">
    <w:name w:val="Gem_Titel"/>
    <w:basedOn w:val="Standaard"/>
    <w:rsid w:val="007A4D66"/>
    <w:pPr>
      <w:framePr w:wrap="auto" w:vAnchor="page" w:hAnchor="page" w:x="2178" w:y="2836"/>
      <w:spacing w:line="240" w:lineRule="atLeast"/>
    </w:pPr>
    <w:rPr>
      <w:b/>
      <w:sz w:val="36"/>
    </w:rPr>
  </w:style>
  <w:style w:type="table" w:styleId="Tabelraster">
    <w:name w:val="Table Grid"/>
    <w:basedOn w:val="Standaardtabel"/>
    <w:uiPriority w:val="39"/>
    <w:rsid w:val="00D852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mVoettekst">
    <w:name w:val="Gem_Voettekst"/>
    <w:basedOn w:val="Standaard"/>
    <w:rsid w:val="0055463E"/>
    <w:pPr>
      <w:spacing w:line="240" w:lineRule="exact"/>
    </w:pPr>
    <w:rPr>
      <w:sz w:val="14"/>
    </w:rPr>
  </w:style>
  <w:style w:type="paragraph" w:customStyle="1" w:styleId="GemVoettekstVet">
    <w:name w:val="Gem_VoettekstVet"/>
    <w:rsid w:val="0055463E"/>
    <w:pPr>
      <w:widowControl w:val="0"/>
      <w:overflowPunct w:val="0"/>
      <w:autoSpaceDE w:val="0"/>
      <w:autoSpaceDN w:val="0"/>
      <w:adjustRightInd w:val="0"/>
      <w:spacing w:line="240" w:lineRule="auto"/>
      <w:textAlignment w:val="baseline"/>
    </w:pPr>
    <w:rPr>
      <w:rFonts w:ascii="Arial" w:eastAsia="Times New Roman" w:hAnsi="Arial" w:cs="Times New Roman"/>
      <w:b/>
      <w:sz w:val="14"/>
      <w:szCs w:val="20"/>
    </w:rPr>
  </w:style>
  <w:style w:type="paragraph" w:styleId="Lijstalinea">
    <w:name w:val="List Paragraph"/>
    <w:basedOn w:val="Standaard"/>
    <w:uiPriority w:val="34"/>
    <w:qFormat/>
    <w:rsid w:val="000A59F8"/>
    <w:pPr>
      <w:ind w:left="720"/>
      <w:contextualSpacing/>
    </w:pPr>
  </w:style>
  <w:style w:type="character" w:styleId="Verwijzingopmerking">
    <w:name w:val="annotation reference"/>
    <w:basedOn w:val="Standaardalinea-lettertype"/>
    <w:uiPriority w:val="99"/>
    <w:semiHidden/>
    <w:unhideWhenUsed/>
    <w:rsid w:val="001C02B5"/>
    <w:rPr>
      <w:sz w:val="16"/>
      <w:szCs w:val="16"/>
    </w:rPr>
  </w:style>
  <w:style w:type="paragraph" w:styleId="Tekstopmerking">
    <w:name w:val="annotation text"/>
    <w:basedOn w:val="Standaard"/>
    <w:link w:val="TekstopmerkingChar"/>
    <w:uiPriority w:val="99"/>
    <w:semiHidden/>
    <w:unhideWhenUsed/>
    <w:rsid w:val="001C02B5"/>
    <w:pPr>
      <w:spacing w:line="240" w:lineRule="auto"/>
    </w:pPr>
  </w:style>
  <w:style w:type="character" w:customStyle="1" w:styleId="TekstopmerkingChar">
    <w:name w:val="Tekst opmerking Char"/>
    <w:basedOn w:val="Standaardalinea-lettertype"/>
    <w:link w:val="Tekstopmerking"/>
    <w:uiPriority w:val="99"/>
    <w:semiHidden/>
    <w:rsid w:val="001C02B5"/>
    <w:rPr>
      <w:rFonts w:ascii="Arial" w:eastAsia="Times New Roman" w:hAnsi="Arial" w:cs="Times New Roman"/>
      <w:sz w:val="20"/>
      <w:szCs w:val="20"/>
      <w:lang w:val="nl"/>
    </w:rPr>
  </w:style>
  <w:style w:type="paragraph" w:styleId="Onderwerpvanopmerking">
    <w:name w:val="annotation subject"/>
    <w:basedOn w:val="Tekstopmerking"/>
    <w:next w:val="Tekstopmerking"/>
    <w:link w:val="OnderwerpvanopmerkingChar"/>
    <w:uiPriority w:val="99"/>
    <w:semiHidden/>
    <w:unhideWhenUsed/>
    <w:rsid w:val="001C02B5"/>
    <w:rPr>
      <w:b/>
      <w:bCs/>
    </w:rPr>
  </w:style>
  <w:style w:type="character" w:customStyle="1" w:styleId="OnderwerpvanopmerkingChar">
    <w:name w:val="Onderwerp van opmerking Char"/>
    <w:basedOn w:val="TekstopmerkingChar"/>
    <w:link w:val="Onderwerpvanopmerking"/>
    <w:uiPriority w:val="99"/>
    <w:semiHidden/>
    <w:rsid w:val="001C02B5"/>
    <w:rPr>
      <w:rFonts w:ascii="Arial" w:eastAsia="Times New Roman" w:hAnsi="Arial" w:cs="Times New Roman"/>
      <w:b/>
      <w:bCs/>
      <w:sz w:val="20"/>
      <w:szCs w:val="20"/>
      <w:lang w:val="nl"/>
    </w:rPr>
  </w:style>
  <w:style w:type="paragraph" w:styleId="Ballontekst">
    <w:name w:val="Balloon Text"/>
    <w:basedOn w:val="Standaard"/>
    <w:link w:val="BallontekstChar"/>
    <w:uiPriority w:val="99"/>
    <w:semiHidden/>
    <w:unhideWhenUsed/>
    <w:rsid w:val="001C02B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02B5"/>
    <w:rPr>
      <w:rFonts w:ascii="Segoe UI" w:eastAsia="Times New Roman" w:hAnsi="Segoe UI" w:cs="Segoe UI"/>
      <w:sz w:val="18"/>
      <w:szCs w:val="18"/>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222701">
      <w:bodyDiv w:val="1"/>
      <w:marLeft w:val="0"/>
      <w:marRight w:val="0"/>
      <w:marTop w:val="0"/>
      <w:marBottom w:val="0"/>
      <w:divBdr>
        <w:top w:val="none" w:sz="0" w:space="0" w:color="auto"/>
        <w:left w:val="none" w:sz="0" w:space="0" w:color="auto"/>
        <w:bottom w:val="none" w:sz="0" w:space="0" w:color="auto"/>
        <w:right w:val="none" w:sz="0" w:space="0" w:color="auto"/>
      </w:divBdr>
    </w:div>
    <w:div w:id="190802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cid:image002.jpg@01D84419.8D890CF0" TargetMode="External"/><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479CA-9737-446E-8B06-3AF4C600B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1181</Words>
  <Characters>6501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Zanten D.C. van (Diederik)</dc:creator>
  <cp:keywords/>
  <dc:description/>
  <cp:lastModifiedBy>Zanten D.C. van (Diederik)</cp:lastModifiedBy>
  <cp:revision>4</cp:revision>
  <cp:lastPrinted>2022-04-25T07:03:00Z</cp:lastPrinted>
  <dcterms:created xsi:type="dcterms:W3CDTF">2022-05-10T07:28:00Z</dcterms:created>
  <dcterms:modified xsi:type="dcterms:W3CDTF">2022-05-16T11:26:00Z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71968-df67-4817-ac85-f4a5f5ebb5dd_Enabled">
    <vt:lpwstr>true</vt:lpwstr>
  </property>
  <property fmtid="{D5CDD505-2E9C-101B-9397-08002B2CF9AE}" pid="3" name="MSIP_Label_ea871968-df67-4817-ac85-f4a5f5ebb5dd_SetDate">
    <vt:lpwstr>2021-12-23T12:27:19Z</vt:lpwstr>
  </property>
  <property fmtid="{D5CDD505-2E9C-101B-9397-08002B2CF9AE}" pid="4" name="MSIP_Label_ea871968-df67-4817-ac85-f4a5f5ebb5dd_Method">
    <vt:lpwstr>Standard</vt:lpwstr>
  </property>
  <property fmtid="{D5CDD505-2E9C-101B-9397-08002B2CF9AE}" pid="5" name="MSIP_Label_ea871968-df67-4817-ac85-f4a5f5ebb5dd_Name">
    <vt:lpwstr>Bedrijfsvertrouwelijk</vt:lpwstr>
  </property>
  <property fmtid="{D5CDD505-2E9C-101B-9397-08002B2CF9AE}" pid="6" name="MSIP_Label_ea871968-df67-4817-ac85-f4a5f5ebb5dd_SiteId">
    <vt:lpwstr>49c4cd82-8f65-4d6a-9a3b-0ecd07c0cf5b</vt:lpwstr>
  </property>
  <property fmtid="{D5CDD505-2E9C-101B-9397-08002B2CF9AE}" pid="7" name="MSIP_Label_ea871968-df67-4817-ac85-f4a5f5ebb5dd_ActionId">
    <vt:lpwstr>beeb048e-7bc2-4584-9d8d-aa5d5536946c</vt:lpwstr>
  </property>
  <property fmtid="{D5CDD505-2E9C-101B-9397-08002B2CF9AE}" pid="8" name="MSIP_Label_ea871968-df67-4817-ac85-f4a5f5ebb5dd_ContentBits">
    <vt:lpwstr>0</vt:lpwstr>
  </property>
</Properties>
</file>